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69632" w14:textId="5B296A1F" w:rsidR="0005558A" w:rsidRDefault="00236C78">
      <w:pPr>
        <w:jc w:val="center"/>
        <w:rPr>
          <w:b/>
          <w:sz w:val="28"/>
          <w:szCs w:val="28"/>
          <w:lang w:val="en-GB"/>
        </w:rPr>
      </w:pPr>
      <w:r>
        <w:rPr>
          <w:b/>
          <w:sz w:val="28"/>
          <w:szCs w:val="28"/>
          <w:lang w:val="en-GB"/>
        </w:rPr>
        <w:t>Contract Notice</w:t>
      </w:r>
    </w:p>
    <w:p w14:paraId="5BFF8158" w14:textId="260A1499" w:rsidR="0005558A" w:rsidRDefault="00F5437E" w:rsidP="00F5437E">
      <w:pPr>
        <w:spacing w:after="240"/>
        <w:jc w:val="center"/>
        <w:rPr>
          <w:rStyle w:val="Strong"/>
          <w:sz w:val="28"/>
          <w:szCs w:val="28"/>
          <w:lang w:val="en-GB"/>
        </w:rPr>
      </w:pPr>
      <w:r w:rsidRPr="00F5437E">
        <w:rPr>
          <w:rStyle w:val="Strong"/>
          <w:sz w:val="28"/>
          <w:szCs w:val="28"/>
          <w:lang w:val="en-GB"/>
        </w:rPr>
        <w:t>Procurement of one electric combi minimum 8+1 seats and procurement of one utility electric vehicle with 5 seats for Bitola Municipality</w:t>
      </w:r>
    </w:p>
    <w:p w14:paraId="6BC4E62E" w14:textId="7BBF602E" w:rsidR="00DF1F13" w:rsidRDefault="00DF1F13" w:rsidP="00F5437E">
      <w:pPr>
        <w:spacing w:after="240"/>
        <w:jc w:val="center"/>
        <w:rPr>
          <w:rStyle w:val="Strong"/>
          <w:b w:val="0"/>
          <w:bCs/>
          <w:sz w:val="28"/>
          <w:szCs w:val="28"/>
          <w:lang w:val="en-GB"/>
        </w:rPr>
      </w:pPr>
      <w:bookmarkStart w:id="0" w:name="_Hlk72321383"/>
      <w:r w:rsidRPr="00E82463">
        <w:rPr>
          <w:szCs w:val="28"/>
          <w:lang w:val="en-GB"/>
        </w:rPr>
        <w:t xml:space="preserve">PUBLICATION REF.: </w:t>
      </w:r>
      <w:r w:rsidRPr="00E54F56">
        <w:rPr>
          <w:szCs w:val="28"/>
          <w:lang w:val="en-GB"/>
        </w:rPr>
        <w:t>08-</w:t>
      </w:r>
      <w:r>
        <w:rPr>
          <w:szCs w:val="28"/>
          <w:lang w:val="en-GB"/>
        </w:rPr>
        <w:t>258</w:t>
      </w:r>
      <w:r w:rsidRPr="00E54F56">
        <w:rPr>
          <w:szCs w:val="28"/>
          <w:lang w:val="en-GB"/>
        </w:rPr>
        <w:t>/3</w:t>
      </w:r>
    </w:p>
    <w:bookmarkEnd w:id="0"/>
    <w:p w14:paraId="7411F3EB" w14:textId="533D6A6F" w:rsidR="0005558A" w:rsidRDefault="00236C78">
      <w:pPr>
        <w:spacing w:after="120"/>
        <w:jc w:val="both"/>
        <w:rPr>
          <w:rStyle w:val="Strong"/>
          <w:b w:val="0"/>
          <w:bCs/>
          <w:sz w:val="28"/>
          <w:szCs w:val="28"/>
          <w:lang w:val="en-GB"/>
        </w:rPr>
      </w:pPr>
      <w:r>
        <w:rPr>
          <w:rStyle w:val="Strong"/>
          <w:b w:val="0"/>
          <w:bCs/>
          <w:sz w:val="28"/>
          <w:szCs w:val="28"/>
          <w:lang w:val="en-GB"/>
        </w:rPr>
        <w:t xml:space="preserve">Lot 1 </w:t>
      </w:r>
      <w:r w:rsidR="00F5437E" w:rsidRPr="00F5437E">
        <w:rPr>
          <w:rStyle w:val="Strong"/>
          <w:b w:val="0"/>
          <w:bCs/>
          <w:sz w:val="28"/>
          <w:szCs w:val="28"/>
          <w:lang w:val="en-GB"/>
        </w:rPr>
        <w:t xml:space="preserve">Procurement of one electric combi minimum 8+1 seats for Bitola Municipality </w:t>
      </w:r>
    </w:p>
    <w:p w14:paraId="48A32913" w14:textId="760C5C4A" w:rsidR="0005558A" w:rsidRDefault="00236C78">
      <w:pPr>
        <w:spacing w:after="120"/>
        <w:jc w:val="both"/>
        <w:rPr>
          <w:rStyle w:val="Strong"/>
          <w:b w:val="0"/>
          <w:bCs/>
          <w:sz w:val="28"/>
          <w:szCs w:val="28"/>
          <w:lang w:val="en-GB"/>
        </w:rPr>
      </w:pPr>
      <w:r>
        <w:rPr>
          <w:rStyle w:val="Strong"/>
          <w:b w:val="0"/>
          <w:bCs/>
          <w:sz w:val="28"/>
          <w:szCs w:val="28"/>
          <w:lang w:val="en-GB"/>
        </w:rPr>
        <w:t xml:space="preserve">Lot 2 </w:t>
      </w:r>
      <w:r w:rsidR="00F5437E" w:rsidRPr="00F5437E">
        <w:rPr>
          <w:rStyle w:val="Strong"/>
          <w:b w:val="0"/>
          <w:bCs/>
          <w:sz w:val="28"/>
          <w:szCs w:val="28"/>
          <w:lang w:val="en-GB"/>
        </w:rPr>
        <w:t xml:space="preserve">Procurement of one utility electric vehicle with 5 seats for Bitola Municipality </w:t>
      </w:r>
    </w:p>
    <w:p w14:paraId="366B8A08" w14:textId="77777777" w:rsidR="0005558A" w:rsidRDefault="00236C78">
      <w:pPr>
        <w:pStyle w:val="PRAGHeading2"/>
        <w:ind w:left="426" w:hanging="426"/>
        <w:rPr>
          <w:rStyle w:val="Strong"/>
          <w:b w:val="0"/>
          <w:lang w:val="en-GB"/>
        </w:rPr>
      </w:pPr>
      <w:r>
        <w:rPr>
          <w:rStyle w:val="Strong"/>
          <w:sz w:val="22"/>
          <w:szCs w:val="22"/>
          <w:lang w:val="en-GB"/>
        </w:rPr>
        <w:t>Nature of contract</w:t>
      </w:r>
    </w:p>
    <w:p w14:paraId="569B1D5C" w14:textId="70F6E4B8" w:rsidR="0005558A" w:rsidRDefault="00236C78">
      <w:pPr>
        <w:rPr>
          <w:snapToGrid/>
          <w:sz w:val="22"/>
          <w:lang w:val="en-GB"/>
        </w:rPr>
      </w:pPr>
      <w:r>
        <w:rPr>
          <w:rStyle w:val="Strong"/>
          <w:b w:val="0"/>
          <w:sz w:val="22"/>
          <w:szCs w:val="22"/>
          <w:lang w:val="en-GB"/>
        </w:rPr>
        <w:t xml:space="preserve">lump </w:t>
      </w:r>
      <w:proofErr w:type="gramStart"/>
      <w:r>
        <w:rPr>
          <w:rStyle w:val="Strong"/>
          <w:b w:val="0"/>
          <w:sz w:val="22"/>
          <w:szCs w:val="22"/>
          <w:lang w:val="en-GB"/>
        </w:rPr>
        <w:t>sum</w:t>
      </w:r>
      <w:r w:rsidR="001809A4">
        <w:rPr>
          <w:rStyle w:val="Strong"/>
          <w:b w:val="0"/>
          <w:sz w:val="22"/>
          <w:szCs w:val="22"/>
          <w:lang w:val="en-GB"/>
        </w:rPr>
        <w:t xml:space="preserve">  </w:t>
      </w:r>
      <w:r w:rsidR="001809A4" w:rsidRPr="001809A4">
        <w:rPr>
          <w:rStyle w:val="Strong"/>
          <w:b w:val="0"/>
          <w:sz w:val="22"/>
          <w:szCs w:val="22"/>
          <w:lang w:val="en-GB"/>
        </w:rPr>
        <w:t>(</w:t>
      </w:r>
      <w:proofErr w:type="gramEnd"/>
      <w:r w:rsidR="001809A4" w:rsidRPr="001809A4">
        <w:rPr>
          <w:rStyle w:val="Strong"/>
          <w:b w:val="0"/>
          <w:sz w:val="22"/>
          <w:szCs w:val="22"/>
          <w:lang w:val="en-GB"/>
        </w:rPr>
        <w:t>DDP to Bitola)</w:t>
      </w:r>
    </w:p>
    <w:p w14:paraId="17C24511" w14:textId="77777777" w:rsidR="0005558A" w:rsidRDefault="00236C78">
      <w:pPr>
        <w:pStyle w:val="PRAGHeading2"/>
        <w:ind w:left="426" w:hanging="426"/>
        <w:rPr>
          <w:rStyle w:val="Strong"/>
          <w:sz w:val="22"/>
          <w:szCs w:val="22"/>
          <w:lang w:val="en-GB"/>
        </w:rPr>
      </w:pPr>
      <w:r>
        <w:rPr>
          <w:rStyle w:val="Strong"/>
          <w:sz w:val="22"/>
          <w:szCs w:val="22"/>
          <w:lang w:val="en-GB"/>
        </w:rPr>
        <w:t>Programme title</w:t>
      </w:r>
    </w:p>
    <w:p w14:paraId="12E04D35" w14:textId="77777777" w:rsidR="0005558A" w:rsidRDefault="00236C78">
      <w:pPr>
        <w:pStyle w:val="PRAGHeading2"/>
        <w:numPr>
          <w:ilvl w:val="0"/>
          <w:numId w:val="0"/>
        </w:numPr>
      </w:pPr>
      <w:r>
        <w:t>IPA CBC “Greece – Republic of North Macedonia” 2014-2020</w:t>
      </w:r>
    </w:p>
    <w:p w14:paraId="41FEAE4A" w14:textId="77777777" w:rsidR="0005558A" w:rsidRDefault="00236C78">
      <w:pPr>
        <w:pStyle w:val="PRAGHeading2"/>
        <w:ind w:left="426" w:hanging="426"/>
        <w:rPr>
          <w:rStyle w:val="Strong"/>
          <w:sz w:val="22"/>
          <w:szCs w:val="22"/>
        </w:rPr>
      </w:pPr>
      <w:r>
        <w:rPr>
          <w:rStyle w:val="Strong"/>
          <w:sz w:val="22"/>
          <w:szCs w:val="22"/>
          <w:lang w:val="en-GB"/>
        </w:rPr>
        <w:t>Financing</w:t>
      </w:r>
    </w:p>
    <w:p w14:paraId="62712406" w14:textId="0FA5B532" w:rsidR="0005558A" w:rsidRDefault="00B00563">
      <w:pPr>
        <w:pStyle w:val="PRAGHeading2"/>
        <w:numPr>
          <w:ilvl w:val="0"/>
          <w:numId w:val="0"/>
        </w:numPr>
      </w:pPr>
      <w:r w:rsidRPr="00B00563">
        <w:t xml:space="preserve">Integration of Green Transport in </w:t>
      </w:r>
      <w:proofErr w:type="gramStart"/>
      <w:r w:rsidRPr="00B00563">
        <w:t>Cities  -</w:t>
      </w:r>
      <w:proofErr w:type="gramEnd"/>
      <w:r w:rsidRPr="00B00563">
        <w:t xml:space="preserve"> Green Inter-e-Mobility </w:t>
      </w:r>
      <w:r w:rsidR="00236C78">
        <w:t xml:space="preserve">– CN1 – S.0 2.1 – SC 039  </w:t>
      </w:r>
    </w:p>
    <w:p w14:paraId="297FDD89" w14:textId="77777777" w:rsidR="0005558A" w:rsidRDefault="00236C78">
      <w:pPr>
        <w:pStyle w:val="PRAGHeading2"/>
        <w:ind w:left="426" w:hanging="426"/>
        <w:rPr>
          <w:rStyle w:val="Strong"/>
          <w:sz w:val="22"/>
          <w:szCs w:val="22"/>
          <w:lang w:val="en-GB"/>
        </w:rPr>
      </w:pPr>
      <w:r>
        <w:rPr>
          <w:rStyle w:val="Strong"/>
          <w:sz w:val="22"/>
          <w:szCs w:val="22"/>
          <w:lang w:val="en-GB"/>
        </w:rPr>
        <w:t>Eligibility and rules of origin</w:t>
      </w:r>
    </w:p>
    <w:p w14:paraId="2962A511" w14:textId="019BE993" w:rsidR="0005558A" w:rsidRDefault="00236C78">
      <w:pPr>
        <w:widowControl/>
        <w:spacing w:before="0" w:after="120"/>
        <w:jc w:val="both"/>
        <w:rPr>
          <w:sz w:val="22"/>
          <w:szCs w:val="22"/>
          <w:lang w:val="en-GB"/>
        </w:rPr>
      </w:pPr>
      <w:r>
        <w:rPr>
          <w:sz w:val="22"/>
          <w:szCs w:val="22"/>
          <w:lang w:val="en-GB"/>
        </w:rPr>
        <w:t xml:space="preserve">Participation is open to all </w:t>
      </w:r>
      <w:r>
        <w:rPr>
          <w:rFonts w:eastAsia="Calibri" w:cs="Arial"/>
          <w:sz w:val="22"/>
          <w:szCs w:val="22"/>
        </w:rPr>
        <w:t xml:space="preserve">natural persons who are nationals of and </w:t>
      </w:r>
      <w:r>
        <w:rPr>
          <w:sz w:val="22"/>
          <w:szCs w:val="22"/>
          <w:lang w:val="en-GB"/>
        </w:rPr>
        <w:t xml:space="preserve">legal persons (participating either individually or in a grouping – consortium – of candidates/tenderers) which are effectively established in a  Member State of the European Union or in a eligible country or territory as defined under </w:t>
      </w:r>
      <w:r>
        <w:rPr>
          <w:rFonts w:eastAsia="Calibri" w:cs="Arial"/>
          <w:bCs/>
          <w:snapToGrid/>
          <w:sz w:val="22"/>
          <w:szCs w:val="22"/>
        </w:rPr>
        <w:t xml:space="preserve">the Regulation </w:t>
      </w:r>
      <w:r>
        <w:rPr>
          <w:sz w:val="22"/>
          <w:szCs w:val="22"/>
          <w:lang w:val="en-GB"/>
        </w:rPr>
        <w:t>(EU) No </w:t>
      </w:r>
      <w:r>
        <w:rPr>
          <w:rFonts w:eastAsia="MS Mincho"/>
          <w:sz w:val="22"/>
          <w:szCs w:val="22"/>
          <w:lang w:val="en-GB" w:eastAsia="ja-JP"/>
        </w:rPr>
        <w:t xml:space="preserve">236/2014 </w:t>
      </w:r>
      <w:r>
        <w:rPr>
          <w:rFonts w:eastAsia="Calibri" w:cs="Arial"/>
          <w:bCs/>
          <w:snapToGrid/>
          <w:sz w:val="22"/>
          <w:szCs w:val="22"/>
        </w:rPr>
        <w:t xml:space="preserve">establishing common rules and procedures for the implementation of the Union's instruments for external action (CIR) </w:t>
      </w:r>
      <w:r>
        <w:rPr>
          <w:sz w:val="22"/>
          <w:szCs w:val="22"/>
          <w:lang w:val="en-GB"/>
        </w:rPr>
        <w:t>for the applicable instrument under which the contract is financed (see also heading ‘Legal basis’ below)</w:t>
      </w:r>
      <w:r>
        <w:rPr>
          <w:rFonts w:eastAsia="Calibri" w:cs="Arial"/>
          <w:sz w:val="22"/>
          <w:szCs w:val="22"/>
        </w:rPr>
        <w:t xml:space="preserve">. </w:t>
      </w:r>
      <w:r>
        <w:rPr>
          <w:sz w:val="22"/>
          <w:szCs w:val="22"/>
          <w:lang w:val="en-GB"/>
        </w:rPr>
        <w:t xml:space="preserve">Participation is also open to international organisations. </w:t>
      </w:r>
    </w:p>
    <w:p w14:paraId="555C584F" w14:textId="5E246068" w:rsidR="0096198F" w:rsidRPr="0096198F" w:rsidRDefault="0096198F">
      <w:pPr>
        <w:widowControl/>
        <w:spacing w:before="0" w:after="120"/>
        <w:jc w:val="both"/>
        <w:rPr>
          <w:b/>
          <w:bCs/>
          <w:sz w:val="22"/>
          <w:szCs w:val="22"/>
          <w:lang w:val="en-GB"/>
        </w:rPr>
      </w:pPr>
      <w:r w:rsidRPr="0096198F">
        <w:rPr>
          <w:b/>
          <w:bCs/>
          <w:sz w:val="22"/>
          <w:szCs w:val="22"/>
          <w:lang w:val="en-GB"/>
        </w:rPr>
        <w:t xml:space="preserve">        </w:t>
      </w:r>
      <w:bookmarkStart w:id="1" w:name="_Hlk72320216"/>
      <w:r w:rsidRPr="0096198F">
        <w:rPr>
          <w:b/>
          <w:bCs/>
          <w:sz w:val="22"/>
          <w:szCs w:val="22"/>
          <w:lang w:val="en-GB"/>
        </w:rPr>
        <w:t>The tenderer must have an authorization from the manufacturer for distribution of vehicles on the territory of the Republic of Northern Macedonia</w:t>
      </w:r>
      <w:bookmarkEnd w:id="1"/>
    </w:p>
    <w:p w14:paraId="48633DEA" w14:textId="6B0AED7C" w:rsidR="0005558A" w:rsidRDefault="00236C78">
      <w:pPr>
        <w:widowControl/>
        <w:spacing w:before="0" w:after="120"/>
        <w:jc w:val="both"/>
        <w:rPr>
          <w:rFonts w:eastAsia="Calibri" w:cs="Arial"/>
          <w:sz w:val="22"/>
          <w:szCs w:val="22"/>
        </w:rPr>
      </w:pPr>
      <w:bookmarkStart w:id="2" w:name="_DV_M201"/>
      <w:bookmarkEnd w:id="2"/>
      <w:r>
        <w:rPr>
          <w:sz w:val="22"/>
          <w:szCs w:val="22"/>
          <w:lang w:val="en-GB"/>
        </w:rPr>
        <w:t xml:space="preserve">All supplies under this contract may </w:t>
      </w:r>
      <w:r>
        <w:rPr>
          <w:rFonts w:eastAsia="Calibri" w:cs="Arial"/>
          <w:szCs w:val="24"/>
        </w:rPr>
        <w:t xml:space="preserve">originate </w:t>
      </w:r>
      <w:r w:rsidR="0096198F">
        <w:rPr>
          <w:rFonts w:eastAsia="Calibri" w:cs="Arial"/>
          <w:szCs w:val="24"/>
        </w:rPr>
        <w:t>according the PRAG rules</w:t>
      </w:r>
      <w:r>
        <w:rPr>
          <w:rFonts w:eastAsia="Calibri" w:cs="Arial"/>
          <w:szCs w:val="24"/>
        </w:rPr>
        <w:t>.</w:t>
      </w:r>
    </w:p>
    <w:p w14:paraId="224B1174" w14:textId="77777777" w:rsidR="0005558A" w:rsidRDefault="00236C78">
      <w:pPr>
        <w:pStyle w:val="PRAGHeading2"/>
        <w:ind w:left="426" w:hanging="426"/>
        <w:rPr>
          <w:rStyle w:val="Strong"/>
          <w:sz w:val="22"/>
          <w:szCs w:val="22"/>
          <w:lang w:val="en-GB"/>
        </w:rPr>
      </w:pPr>
      <w:r>
        <w:rPr>
          <w:rStyle w:val="Strong"/>
          <w:sz w:val="22"/>
          <w:szCs w:val="22"/>
          <w:lang w:val="en-GB"/>
        </w:rPr>
        <w:t xml:space="preserve">Candidature </w:t>
      </w:r>
    </w:p>
    <w:p w14:paraId="34E941A5" w14:textId="77777777" w:rsidR="0005558A" w:rsidRDefault="00236C78">
      <w:pPr>
        <w:pStyle w:val="PRAGHeading2"/>
        <w:numPr>
          <w:ilvl w:val="0"/>
          <w:numId w:val="0"/>
        </w:numPr>
        <w:ind w:left="426"/>
        <w:jc w:val="both"/>
        <w:rPr>
          <w:rStyle w:val="Strong"/>
          <w:b w:val="0"/>
          <w:sz w:val="22"/>
          <w:szCs w:val="22"/>
          <w:lang w:val="en-GB"/>
        </w:rPr>
      </w:pPr>
      <w:r>
        <w:rPr>
          <w:rStyle w:val="Strong"/>
          <w:b w:val="0"/>
          <w:sz w:val="22"/>
          <w:szCs w:val="22"/>
          <w:lang w:val="en-GB"/>
        </w:rPr>
        <w:t>All eligible natural and legal persons (as per item 4 above)</w:t>
      </w:r>
      <w:r>
        <w:rPr>
          <w:rStyle w:val="Strong"/>
          <w:sz w:val="22"/>
          <w:szCs w:val="22"/>
          <w:lang w:val="en-GB"/>
        </w:rPr>
        <w:t xml:space="preserve"> </w:t>
      </w:r>
      <w:r>
        <w:rPr>
          <w:rStyle w:val="Strong"/>
          <w:b w:val="0"/>
          <w:sz w:val="22"/>
          <w:szCs w:val="22"/>
          <w:lang w:val="en-GB"/>
        </w:rPr>
        <w:t>or groupings of such persons (consortia) may apply.</w:t>
      </w:r>
    </w:p>
    <w:p w14:paraId="73881AC0" w14:textId="77777777" w:rsidR="0005558A" w:rsidRDefault="00236C78">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legally-established grouping or a grouping which has been constituted informally for a specific tender procedure. All partners of a consortium (i.e., the leader and all other partners) are jointly and severally liable to the contracting authority.</w:t>
      </w:r>
    </w:p>
    <w:p w14:paraId="4777205A" w14:textId="77777777" w:rsidR="0005558A" w:rsidRDefault="00236C78">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participation of an ineligible natural or legal person will result in the automatic exclusion of that person. In particular, if that ineligible person belongs to a consortium, the whole consortium will be excluded. </w:t>
      </w:r>
    </w:p>
    <w:p w14:paraId="4020E60D" w14:textId="77777777" w:rsidR="0005558A" w:rsidRDefault="00236C78">
      <w:pPr>
        <w:pStyle w:val="PRAGHeading2"/>
        <w:ind w:left="426" w:hanging="426"/>
        <w:rPr>
          <w:rStyle w:val="Strong"/>
          <w:sz w:val="22"/>
          <w:szCs w:val="22"/>
          <w:lang w:val="en-GB"/>
        </w:rPr>
      </w:pPr>
      <w:r>
        <w:rPr>
          <w:rStyle w:val="Strong"/>
          <w:sz w:val="22"/>
          <w:szCs w:val="22"/>
          <w:lang w:val="en-GB"/>
        </w:rPr>
        <w:t>Number of applications or tenders</w:t>
      </w:r>
    </w:p>
    <w:p w14:paraId="492653E5" w14:textId="77777777" w:rsidR="0005558A" w:rsidRDefault="00236C78">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application or tender can be submitted by a natural or legal person whatever the form of participation (as an individual legal entity or as leader or partner of a consortium submitting </w:t>
      </w:r>
      <w:r>
        <w:rPr>
          <w:rStyle w:val="Strong"/>
          <w:b w:val="0"/>
          <w:sz w:val="22"/>
          <w:szCs w:val="22"/>
          <w:lang w:val="en-GB"/>
        </w:rPr>
        <w:lastRenderedPageBreak/>
        <w:t xml:space="preserve">an application/tender). In the event that a natural or legal person submits more than one application or tender, all applications or tenders in which that person has participated will be excluded. </w:t>
      </w:r>
    </w:p>
    <w:p w14:paraId="5E6D437E" w14:textId="77777777" w:rsidR="0005558A" w:rsidRDefault="00236C78">
      <w:pPr>
        <w:pStyle w:val="Blockquote"/>
        <w:ind w:left="426" w:right="-48"/>
        <w:jc w:val="both"/>
        <w:rPr>
          <w:sz w:val="22"/>
          <w:szCs w:val="22"/>
          <w:lang w:val="en-GB"/>
        </w:rPr>
      </w:pPr>
      <w:r>
        <w:rPr>
          <w:sz w:val="22"/>
          <w:szCs w:val="22"/>
          <w:lang w:val="en-GB"/>
        </w:rPr>
        <w:t>In case of lots, the candidates or tenderers may submit only one application or tender per lot. Contracts will be awarded lot by lot and each lot will form a separate contract.</w:t>
      </w:r>
    </w:p>
    <w:p w14:paraId="20C327AB" w14:textId="77777777" w:rsidR="0005558A" w:rsidRDefault="00236C78">
      <w:pPr>
        <w:pStyle w:val="Blockquote"/>
        <w:ind w:left="426" w:right="-48"/>
        <w:jc w:val="both"/>
        <w:rPr>
          <w:sz w:val="22"/>
          <w:szCs w:val="22"/>
          <w:lang w:val="en-GB"/>
        </w:rPr>
      </w:pPr>
      <w:r>
        <w:rPr>
          <w:sz w:val="22"/>
          <w:szCs w:val="22"/>
          <w:lang w:val="en-GB"/>
        </w:rPr>
        <w:t xml:space="preserve">Tenders for parts of a lot will not be considered. Tenderers may not submit a tender for a variant solution in addition to their tender for the works or supplies required in the tender dossier. </w:t>
      </w:r>
    </w:p>
    <w:p w14:paraId="79D59E5D" w14:textId="77777777" w:rsidR="0005558A" w:rsidRDefault="0005558A">
      <w:pPr>
        <w:pStyle w:val="Blockquote"/>
        <w:ind w:left="426" w:right="-48"/>
        <w:jc w:val="both"/>
        <w:rPr>
          <w:sz w:val="22"/>
          <w:szCs w:val="22"/>
          <w:lang w:val="en-GB"/>
        </w:rPr>
      </w:pPr>
    </w:p>
    <w:p w14:paraId="13294E6C" w14:textId="77777777" w:rsidR="0005558A" w:rsidRDefault="00236C78">
      <w:pPr>
        <w:pStyle w:val="PRAGHeading2"/>
        <w:ind w:left="426" w:right="-48" w:hanging="426"/>
        <w:rPr>
          <w:rStyle w:val="Strong"/>
          <w:sz w:val="22"/>
          <w:szCs w:val="22"/>
          <w:lang w:val="en-GB"/>
        </w:rPr>
      </w:pPr>
      <w:r>
        <w:rPr>
          <w:rStyle w:val="Strong"/>
          <w:sz w:val="22"/>
          <w:szCs w:val="22"/>
          <w:lang w:val="en-GB"/>
        </w:rPr>
        <w:t>Tender guarantee</w:t>
      </w:r>
    </w:p>
    <w:p w14:paraId="32B249CB" w14:textId="77777777" w:rsidR="0005558A" w:rsidRDefault="00236C78">
      <w:pPr>
        <w:pStyle w:val="PRAGHeading2"/>
        <w:numPr>
          <w:ilvl w:val="0"/>
          <w:numId w:val="0"/>
        </w:numPr>
        <w:ind w:left="426"/>
        <w:rPr>
          <w:rStyle w:val="Strong"/>
          <w:b w:val="0"/>
          <w:sz w:val="22"/>
          <w:szCs w:val="22"/>
          <w:lang w:val="en-GB"/>
        </w:rPr>
      </w:pPr>
      <w:r>
        <w:rPr>
          <w:sz w:val="22"/>
          <w:szCs w:val="22"/>
          <w:lang w:val="en-GB"/>
        </w:rPr>
        <w:t>No tender guarantee is required.</w:t>
      </w:r>
    </w:p>
    <w:p w14:paraId="7CC5D24D" w14:textId="77777777" w:rsidR="0005558A" w:rsidRDefault="00236C78">
      <w:pPr>
        <w:pStyle w:val="PRAGHeading2"/>
        <w:ind w:left="426" w:hanging="426"/>
        <w:rPr>
          <w:rStyle w:val="Strong"/>
          <w:sz w:val="22"/>
          <w:szCs w:val="22"/>
          <w:lang w:val="en-GB"/>
        </w:rPr>
      </w:pPr>
      <w:r>
        <w:rPr>
          <w:rStyle w:val="Strong"/>
          <w:sz w:val="22"/>
          <w:szCs w:val="22"/>
          <w:lang w:val="en-GB"/>
        </w:rPr>
        <w:t>Performance guarantee</w:t>
      </w:r>
    </w:p>
    <w:p w14:paraId="4C21C0D8" w14:textId="77777777" w:rsidR="0005558A" w:rsidRDefault="00236C78">
      <w:pPr>
        <w:ind w:left="426"/>
        <w:jc w:val="both"/>
        <w:rPr>
          <w:sz w:val="22"/>
          <w:szCs w:val="22"/>
          <w:lang w:val="en-GB"/>
        </w:rPr>
      </w:pPr>
      <w:r>
        <w:rPr>
          <w:sz w:val="22"/>
          <w:szCs w:val="22"/>
          <w:lang w:val="en-GB"/>
        </w:rPr>
        <w:t xml:space="preserve">The successful tenderer will be asked to provide a </w:t>
      </w:r>
      <w:r w:rsidRPr="00F36A19">
        <w:rPr>
          <w:sz w:val="22"/>
          <w:szCs w:val="22"/>
          <w:lang w:val="en-GB"/>
        </w:rPr>
        <w:t>performance guarantee of 10%</w:t>
      </w:r>
      <w:r>
        <w:rPr>
          <w:sz w:val="22"/>
          <w:szCs w:val="22"/>
          <w:lang w:val="en-GB"/>
        </w:rPr>
        <w:t xml:space="preserve"> of the amount of the contract at the signing of the contract. This guarantee must be provided together with the return of the countersigned contract no later than 30 days after the tenderer receives the contract signed by the contracting authority. If the selected tenderer fails to provide such a guarantee within this period, the contract will be void and a new contract may be drawn up and sent to the tenderer which has submitted the next cheapest compliant tender.</w:t>
      </w:r>
    </w:p>
    <w:p w14:paraId="45EFF576" w14:textId="77777777" w:rsidR="0005558A" w:rsidRDefault="00236C78">
      <w:pPr>
        <w:pStyle w:val="PRAGHeading2"/>
        <w:ind w:left="426" w:hanging="426"/>
        <w:rPr>
          <w:b/>
          <w:sz w:val="22"/>
          <w:szCs w:val="22"/>
          <w:lang w:val="en-GB"/>
        </w:rPr>
      </w:pPr>
      <w:r>
        <w:rPr>
          <w:rStyle w:val="Strong"/>
          <w:sz w:val="22"/>
          <w:szCs w:val="22"/>
          <w:lang w:val="en-GB"/>
        </w:rPr>
        <w:t>Information meeting and/or site visit</w:t>
      </w:r>
    </w:p>
    <w:p w14:paraId="21A8854A" w14:textId="77777777" w:rsidR="0005558A" w:rsidRDefault="00236C78">
      <w:pPr>
        <w:pStyle w:val="PRAGHeading2"/>
        <w:numPr>
          <w:ilvl w:val="0"/>
          <w:numId w:val="0"/>
        </w:numPr>
        <w:ind w:left="426"/>
        <w:rPr>
          <w:rStyle w:val="Strong"/>
          <w:sz w:val="22"/>
          <w:szCs w:val="22"/>
          <w:lang w:val="en-GB"/>
        </w:rPr>
      </w:pPr>
      <w:r>
        <w:rPr>
          <w:sz w:val="22"/>
          <w:szCs w:val="22"/>
          <w:lang w:val="en-GB"/>
        </w:rPr>
        <w:t xml:space="preserve">N/A. </w:t>
      </w:r>
    </w:p>
    <w:p w14:paraId="590E1E0E" w14:textId="77777777" w:rsidR="0005558A" w:rsidRDefault="00236C78">
      <w:pPr>
        <w:pStyle w:val="PRAGHeading2"/>
        <w:ind w:left="426" w:hanging="426"/>
        <w:jc w:val="both"/>
        <w:rPr>
          <w:rStyle w:val="Strong"/>
          <w:sz w:val="22"/>
          <w:szCs w:val="22"/>
          <w:lang w:val="en-GB"/>
        </w:rPr>
      </w:pPr>
      <w:r>
        <w:rPr>
          <w:rStyle w:val="Strong"/>
          <w:sz w:val="22"/>
          <w:szCs w:val="22"/>
          <w:lang w:val="en-GB"/>
        </w:rPr>
        <w:t>Tender validity</w:t>
      </w:r>
    </w:p>
    <w:p w14:paraId="0DA3E571" w14:textId="77777777" w:rsidR="0005558A" w:rsidRDefault="00236C78">
      <w:pPr>
        <w:pStyle w:val="PRAGHeading2"/>
        <w:numPr>
          <w:ilvl w:val="0"/>
          <w:numId w:val="0"/>
        </w:numPr>
        <w:ind w:left="426"/>
        <w:jc w:val="both"/>
        <w:rPr>
          <w:sz w:val="22"/>
          <w:szCs w:val="22"/>
          <w:lang w:val="en-GB"/>
        </w:rPr>
      </w:pPr>
      <w:r>
        <w:rPr>
          <w:sz w:val="22"/>
          <w:szCs w:val="22"/>
          <w:lang w:val="en-GB"/>
        </w:rPr>
        <w:t>Tenders must remain valid for a period of 3 months after the deadline for submission of tenders. In exceptional circumstances, the contracting authority may, before the validity period expires, request that tenderers extend the validity of tenders for a specific period.</w:t>
      </w:r>
    </w:p>
    <w:p w14:paraId="63A5D82C" w14:textId="77777777" w:rsidR="0005558A" w:rsidRDefault="00236C78">
      <w:pPr>
        <w:pStyle w:val="PRAGHeading2"/>
        <w:ind w:left="426" w:hanging="426"/>
        <w:rPr>
          <w:rStyle w:val="Strong"/>
          <w:sz w:val="22"/>
          <w:szCs w:val="22"/>
          <w:lang w:val="en-GB"/>
        </w:rPr>
      </w:pPr>
      <w:r>
        <w:rPr>
          <w:rStyle w:val="Strong"/>
          <w:sz w:val="22"/>
          <w:szCs w:val="22"/>
          <w:lang w:val="en-GB"/>
        </w:rPr>
        <w:t>Grounds for exclusion</w:t>
      </w:r>
    </w:p>
    <w:p w14:paraId="6C62EBB2" w14:textId="77777777" w:rsidR="0005558A" w:rsidRDefault="00236C78">
      <w:pPr>
        <w:ind w:left="426"/>
        <w:jc w:val="both"/>
        <w:rPr>
          <w:b/>
          <w:sz w:val="22"/>
          <w:szCs w:val="22"/>
          <w:lang w:val="en-GB"/>
        </w:rPr>
      </w:pPr>
      <w:r>
        <w:rPr>
          <w:sz w:val="22"/>
          <w:szCs w:val="22"/>
          <w:lang w:val="en-GB"/>
        </w:rPr>
        <w:t xml:space="preserve">Candidates or tenderers must submit a signed declaration, included in the application form or tender form, to the effect that they are not in any of the situations listed in Section 2.6.10.1. of the </w:t>
      </w:r>
      <w:r>
        <w:rPr>
          <w:b/>
          <w:sz w:val="22"/>
          <w:szCs w:val="22"/>
          <w:lang w:val="en-GB"/>
        </w:rPr>
        <w:t>practical guide (PRAG).</w:t>
      </w:r>
    </w:p>
    <w:p w14:paraId="29F8F218" w14:textId="77777777" w:rsidR="0005558A" w:rsidRDefault="00236C78">
      <w:pPr>
        <w:pStyle w:val="Blockquote"/>
        <w:ind w:left="426" w:right="26"/>
        <w:jc w:val="both"/>
        <w:rPr>
          <w:sz w:val="22"/>
          <w:szCs w:val="22"/>
          <w:lang w:val="en-GB"/>
        </w:rPr>
      </w:pPr>
      <w:r>
        <w:rPr>
          <w:sz w:val="22"/>
          <w:szCs w:val="22"/>
          <w:lang w:val="en-GB"/>
        </w:rPr>
        <w:t>Candidates or tenderers included in the lists of EU restrictive measures (see Section 2.4. of the PRAG) at the moment of the award decision cannot be awarded the contract.</w:t>
      </w:r>
    </w:p>
    <w:p w14:paraId="4E6C41E2" w14:textId="77777777" w:rsidR="0005558A" w:rsidRDefault="00236C78">
      <w:pPr>
        <w:pStyle w:val="PRAGHeading2"/>
        <w:ind w:left="426" w:hanging="426"/>
        <w:rPr>
          <w:rStyle w:val="Strong"/>
          <w:sz w:val="22"/>
          <w:szCs w:val="22"/>
          <w:lang w:val="en-GB"/>
        </w:rPr>
      </w:pPr>
      <w:r>
        <w:rPr>
          <w:rStyle w:val="Strong"/>
          <w:sz w:val="22"/>
          <w:szCs w:val="22"/>
          <w:lang w:val="en-GB"/>
        </w:rPr>
        <w:t xml:space="preserve">Sub-contracting </w:t>
      </w:r>
    </w:p>
    <w:p w14:paraId="2A2859AA" w14:textId="77777777" w:rsidR="0005558A" w:rsidRDefault="00236C78">
      <w:pPr>
        <w:pStyle w:val="Default"/>
        <w:spacing w:after="120"/>
        <w:ind w:left="426"/>
        <w:jc w:val="both"/>
        <w:rPr>
          <w:rFonts w:ascii="Times New Roman" w:hAnsi="Times New Roman" w:cs="Times New Roman"/>
          <w:sz w:val="22"/>
          <w:szCs w:val="22"/>
        </w:rPr>
      </w:pPr>
      <w:r>
        <w:rPr>
          <w:rStyle w:val="Emphasis"/>
          <w:i w:val="0"/>
          <w:sz w:val="22"/>
          <w:szCs w:val="22"/>
        </w:rPr>
        <w:t xml:space="preserve">Sub-contracting is allowed. </w:t>
      </w:r>
    </w:p>
    <w:p w14:paraId="69048B13" w14:textId="77777777" w:rsidR="0005558A" w:rsidRDefault="00236C78">
      <w:pPr>
        <w:pStyle w:val="PRAGHeading2"/>
        <w:ind w:left="426" w:hanging="426"/>
        <w:rPr>
          <w:rStyle w:val="Strong"/>
          <w:sz w:val="22"/>
          <w:szCs w:val="22"/>
          <w:lang w:val="en-GB"/>
        </w:rPr>
      </w:pPr>
      <w:r>
        <w:rPr>
          <w:rStyle w:val="Strong"/>
          <w:sz w:val="22"/>
          <w:szCs w:val="22"/>
          <w:lang w:val="en-GB"/>
        </w:rPr>
        <w:t xml:space="preserve">Provisional date of invitation to tender </w:t>
      </w:r>
    </w:p>
    <w:p w14:paraId="6E583A35" w14:textId="7944A728" w:rsidR="0005558A" w:rsidRDefault="00F5437E">
      <w:pPr>
        <w:pStyle w:val="PRAGHeading2"/>
        <w:numPr>
          <w:ilvl w:val="0"/>
          <w:numId w:val="0"/>
        </w:numPr>
        <w:ind w:left="426"/>
        <w:rPr>
          <w:i/>
          <w:lang w:val="en-GB"/>
        </w:rPr>
      </w:pPr>
      <w:r>
        <w:rPr>
          <w:rStyle w:val="Emphasis"/>
          <w:i w:val="0"/>
          <w:sz w:val="22"/>
          <w:szCs w:val="22"/>
          <w:lang w:val="en-GB"/>
        </w:rPr>
        <w:t>1</w:t>
      </w:r>
      <w:r w:rsidR="00F36A19">
        <w:rPr>
          <w:rStyle w:val="Emphasis"/>
          <w:i w:val="0"/>
          <w:sz w:val="22"/>
          <w:szCs w:val="22"/>
          <w:lang w:val="en-GB"/>
        </w:rPr>
        <w:t>9</w:t>
      </w:r>
      <w:r>
        <w:rPr>
          <w:rStyle w:val="Emphasis"/>
          <w:i w:val="0"/>
          <w:sz w:val="22"/>
          <w:szCs w:val="22"/>
          <w:lang w:val="en-GB"/>
        </w:rPr>
        <w:t>.05.2021</w:t>
      </w:r>
    </w:p>
    <w:p w14:paraId="49BDE915" w14:textId="77777777" w:rsidR="0005558A" w:rsidRDefault="00236C78">
      <w:pPr>
        <w:pStyle w:val="PRAGHeading2"/>
        <w:ind w:left="426" w:hanging="426"/>
        <w:rPr>
          <w:rStyle w:val="Strong"/>
          <w:sz w:val="22"/>
          <w:szCs w:val="22"/>
          <w:lang w:val="en-GB"/>
        </w:rPr>
      </w:pPr>
      <w:r>
        <w:rPr>
          <w:rStyle w:val="Strong"/>
          <w:sz w:val="22"/>
          <w:szCs w:val="22"/>
          <w:lang w:val="en-GB"/>
        </w:rPr>
        <w:t xml:space="preserve">Provisional commencement date of the contract </w:t>
      </w:r>
    </w:p>
    <w:p w14:paraId="15A39EC7" w14:textId="08F101A7" w:rsidR="0005558A" w:rsidRDefault="00F5437E">
      <w:pPr>
        <w:pStyle w:val="PRAGHeading2"/>
        <w:numPr>
          <w:ilvl w:val="0"/>
          <w:numId w:val="0"/>
        </w:numPr>
        <w:ind w:left="426"/>
        <w:rPr>
          <w:rStyle w:val="Emphasis"/>
          <w:i w:val="0"/>
          <w:sz w:val="22"/>
          <w:szCs w:val="22"/>
          <w:lang w:val="en-GB"/>
        </w:rPr>
      </w:pPr>
      <w:r w:rsidRPr="00F5437E">
        <w:rPr>
          <w:rStyle w:val="Emphasis"/>
          <w:i w:val="0"/>
          <w:sz w:val="22"/>
          <w:szCs w:val="22"/>
          <w:lang w:val="en-GB"/>
        </w:rPr>
        <w:t>15.0</w:t>
      </w:r>
      <w:r>
        <w:rPr>
          <w:rStyle w:val="Emphasis"/>
          <w:i w:val="0"/>
          <w:sz w:val="22"/>
          <w:szCs w:val="22"/>
          <w:lang w:val="en-GB"/>
        </w:rPr>
        <w:t>7</w:t>
      </w:r>
      <w:r w:rsidR="00236C78" w:rsidRPr="00F5437E">
        <w:rPr>
          <w:rStyle w:val="Emphasis"/>
          <w:i w:val="0"/>
          <w:sz w:val="22"/>
          <w:szCs w:val="22"/>
          <w:lang w:val="en-GB"/>
        </w:rPr>
        <w:t>.2021</w:t>
      </w:r>
    </w:p>
    <w:p w14:paraId="410EEB18" w14:textId="77777777" w:rsidR="0005558A" w:rsidRDefault="00236C78">
      <w:pPr>
        <w:pStyle w:val="PRAGHeading2"/>
        <w:ind w:left="426" w:hanging="426"/>
        <w:rPr>
          <w:rStyle w:val="Strong"/>
          <w:sz w:val="22"/>
          <w:szCs w:val="22"/>
          <w:lang w:val="en-GB"/>
        </w:rPr>
      </w:pPr>
      <w:r>
        <w:rPr>
          <w:rStyle w:val="Strong"/>
          <w:sz w:val="22"/>
          <w:szCs w:val="22"/>
          <w:lang w:val="en-GB"/>
        </w:rPr>
        <w:t>P</w:t>
      </w:r>
      <w:r>
        <w:rPr>
          <w:rStyle w:val="Strong"/>
          <w:lang w:val="en-GB"/>
        </w:rPr>
        <w:t>eriod of implementation of tasks</w:t>
      </w:r>
    </w:p>
    <w:p w14:paraId="745DD766" w14:textId="70CED8E7" w:rsidR="0005558A" w:rsidRDefault="00236C78">
      <w:pPr>
        <w:pStyle w:val="PRAGHeading2"/>
        <w:numPr>
          <w:ilvl w:val="0"/>
          <w:numId w:val="0"/>
        </w:numPr>
        <w:ind w:left="426"/>
        <w:rPr>
          <w:rStyle w:val="Emphasis"/>
          <w:sz w:val="22"/>
          <w:szCs w:val="22"/>
          <w:lang w:val="en-GB"/>
        </w:rPr>
      </w:pPr>
      <w:bookmarkStart w:id="3" w:name="_Hlk67039552"/>
      <w:r w:rsidRPr="00F5437E">
        <w:rPr>
          <w:rStyle w:val="Emphasis"/>
          <w:i w:val="0"/>
          <w:sz w:val="22"/>
          <w:szCs w:val="22"/>
          <w:lang w:val="en-GB"/>
        </w:rPr>
        <w:t xml:space="preserve">From signing the contract until the end of </w:t>
      </w:r>
      <w:r w:rsidR="00F5437E" w:rsidRPr="00F5437E">
        <w:rPr>
          <w:rStyle w:val="Emphasis"/>
          <w:i w:val="0"/>
          <w:sz w:val="22"/>
          <w:szCs w:val="22"/>
          <w:lang w:val="en-GB"/>
        </w:rPr>
        <w:t>November 2021</w:t>
      </w:r>
      <w:r>
        <w:rPr>
          <w:rStyle w:val="Emphasis"/>
          <w:i w:val="0"/>
          <w:sz w:val="22"/>
          <w:szCs w:val="22"/>
          <w:lang w:val="en-GB"/>
        </w:rPr>
        <w:t xml:space="preserve"> </w:t>
      </w:r>
    </w:p>
    <w:bookmarkEnd w:id="3"/>
    <w:p w14:paraId="4F1D6288" w14:textId="77777777" w:rsidR="0005558A" w:rsidRDefault="00236C78">
      <w:pPr>
        <w:keepNext/>
        <w:keepLines/>
        <w:rPr>
          <w:sz w:val="22"/>
          <w:szCs w:val="22"/>
          <w:lang w:val="en-GB"/>
        </w:rPr>
      </w:pPr>
      <w:r>
        <w:rPr>
          <w:noProof/>
          <w:snapToGrid/>
          <w:sz w:val="22"/>
          <w:szCs w:val="22"/>
          <w:lang w:val="en-IE" w:eastAsia="en-IE"/>
        </w:rPr>
        <w:lastRenderedPageBreak/>
        <mc:AlternateContent>
          <mc:Choice Requires="wps">
            <w:drawing>
              <wp:anchor distT="0" distB="0" distL="114300" distR="114300" simplePos="0" relativeHeight="251659264" behindDoc="0" locked="0" layoutInCell="0" allowOverlap="1" wp14:anchorId="05613DDF" wp14:editId="7E8F42B0">
                <wp:simplePos x="0" y="0"/>
                <wp:positionH relativeFrom="column">
                  <wp:posOffset>0</wp:posOffset>
                </wp:positionH>
                <wp:positionV relativeFrom="paragraph">
                  <wp:posOffset>152400</wp:posOffset>
                </wp:positionV>
                <wp:extent cx="5943600" cy="635"/>
                <wp:effectExtent l="19050" t="28575" r="19050" b="1841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ln>
                        <a:effectLst>
                          <a:outerShdw dist="12700" dir="16200000" algn="tr" rotWithShape="0">
                            <a:srgbClr val="808080"/>
                          </a:outerShdw>
                        </a:effectLst>
                      </wps:spPr>
                      <wps:bodyPr/>
                    </wps:wsp>
                  </a:graphicData>
                </a:graphic>
              </wp:anchor>
            </w:drawing>
          </mc:Choice>
          <mc:Fallback xmlns:wpsCustomData="http://www.wps.cn/officeDocument/2013/wpsCustomData">
            <w:pict>
              <v:line id="_x0000_s1026" o:spid="_x0000_s1026" o:spt="20" style="position:absolute;left:0pt;margin-left:0pt;margin-top:12pt;height:0.05pt;width:468pt;z-index:251659264;mso-width-relative:page;mso-height-relative:page;" filled="f" stroked="t" coordsize="21600,21600" o:allowincell="f" o:gfxdata="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Su0VC1AAAAAYBAAAPAAAAAAAAAAEA&#10;IAAAACIAAABkcnMvZG93bnJldi54bWxQSwECFAAUAAAACACHTuJASPb0mxMCAAA2BAAADgAAAAAA&#10;AAABACAAAAAjAQAAZHJzL2Uyb0RvYy54bWxQSwUGAAAAAAYABgBZAQAAqAUAAAAA&#10;">
                <v:fill on="f" focussize="0,0"/>
                <v:stroke weight="1.75pt" color="#D4D4D4" joinstyle="round"/>
                <v:imagedata o:title=""/>
                <o:lock v:ext="edit" aspectratio="f"/>
                <v:shadow on="t" color="#808080" offset="0pt,-1pt" origin="32768f,-32768f" matrix="65536f,0f,0f,65536f"/>
              </v:line>
            </w:pict>
          </mc:Fallback>
        </mc:AlternateContent>
      </w:r>
    </w:p>
    <w:p w14:paraId="3559ECA0" w14:textId="77777777" w:rsidR="0005558A" w:rsidRDefault="00236C78">
      <w:pPr>
        <w:keepNext/>
        <w:keepLines/>
        <w:ind w:left="360"/>
        <w:jc w:val="center"/>
        <w:rPr>
          <w:rStyle w:val="Strong"/>
          <w:sz w:val="22"/>
          <w:szCs w:val="22"/>
          <w:lang w:val="en-GB"/>
        </w:rPr>
      </w:pPr>
      <w:r>
        <w:rPr>
          <w:rStyle w:val="Strong"/>
          <w:sz w:val="22"/>
          <w:szCs w:val="22"/>
          <w:lang w:val="en-GB"/>
        </w:rPr>
        <w:t>SELECTION AND AWARD CRITERIA</w:t>
      </w:r>
    </w:p>
    <w:p w14:paraId="55D77B35" w14:textId="77777777" w:rsidR="0005558A" w:rsidRDefault="00236C78">
      <w:pPr>
        <w:pStyle w:val="PRAGHeading2"/>
        <w:ind w:left="426" w:hanging="426"/>
        <w:rPr>
          <w:rStyle w:val="Strong"/>
          <w:sz w:val="22"/>
          <w:szCs w:val="22"/>
          <w:lang w:val="en-GB"/>
        </w:rPr>
      </w:pPr>
      <w:r>
        <w:rPr>
          <w:rStyle w:val="Strong"/>
          <w:sz w:val="22"/>
          <w:szCs w:val="22"/>
          <w:lang w:val="en-GB"/>
        </w:rPr>
        <w:t>Selection criteria</w:t>
      </w:r>
    </w:p>
    <w:p w14:paraId="469E8C3A" w14:textId="77777777" w:rsidR="0005558A" w:rsidRDefault="00236C78">
      <w:pPr>
        <w:spacing w:before="240" w:after="0"/>
        <w:ind w:left="426" w:right="-48"/>
        <w:jc w:val="both"/>
        <w:rPr>
          <w:sz w:val="22"/>
          <w:szCs w:val="22"/>
          <w:lang w:val="en-GB"/>
        </w:rPr>
      </w:pPr>
      <w:r>
        <w:rPr>
          <w:sz w:val="22"/>
          <w:szCs w:val="22"/>
          <w:lang w:val="en-GB"/>
        </w:rPr>
        <w:t>The following selection criteria will be applied to candidates. In the case of applications submitted by a consortium, these selection criteria will be applied to the consortium as a whole if not specified otherwise. The selection criteria will not be applied to natural persons and single-member companies when they are sub-contractors.</w:t>
      </w:r>
    </w:p>
    <w:p w14:paraId="4B765D18" w14:textId="77777777" w:rsidR="0005558A" w:rsidRDefault="00236C78">
      <w:pPr>
        <w:ind w:firstLine="414"/>
        <w:rPr>
          <w:sz w:val="22"/>
          <w:szCs w:val="22"/>
        </w:rPr>
      </w:pPr>
      <w:r>
        <w:rPr>
          <w:sz w:val="22"/>
          <w:szCs w:val="22"/>
        </w:rPr>
        <w:t>The selection criteria for each tenderer are as follows:</w:t>
      </w:r>
    </w:p>
    <w:p w14:paraId="16DE3B43" w14:textId="77777777" w:rsidR="0005558A" w:rsidRDefault="0005558A">
      <w:pPr>
        <w:ind w:firstLine="414"/>
        <w:rPr>
          <w:b/>
          <w:bCs/>
          <w:sz w:val="22"/>
          <w:szCs w:val="22"/>
        </w:rPr>
      </w:pPr>
    </w:p>
    <w:p w14:paraId="656F10C3" w14:textId="77777777" w:rsidR="0005558A" w:rsidRDefault="00236C78">
      <w:pPr>
        <w:pStyle w:val="Blockquote"/>
        <w:numPr>
          <w:ilvl w:val="0"/>
          <w:numId w:val="2"/>
        </w:numPr>
        <w:ind w:right="-48"/>
        <w:jc w:val="both"/>
        <w:rPr>
          <w:sz w:val="22"/>
          <w:szCs w:val="22"/>
          <w:lang w:val="en-GB"/>
        </w:rPr>
      </w:pPr>
      <w:r>
        <w:rPr>
          <w:b/>
          <w:sz w:val="22"/>
          <w:szCs w:val="22"/>
          <w:u w:val="single"/>
          <w:lang w:val="en-GB"/>
        </w:rPr>
        <w:t>Economic and financial capacity</w:t>
      </w:r>
      <w:r>
        <w:rPr>
          <w:sz w:val="22"/>
          <w:szCs w:val="22"/>
          <w:lang w:val="en-GB"/>
        </w:rPr>
        <w:t xml:space="preserve"> </w:t>
      </w:r>
      <w:r>
        <w:rPr>
          <w:b/>
          <w:sz w:val="22"/>
          <w:szCs w:val="22"/>
          <w:lang w:val="en-GB"/>
        </w:rPr>
        <w:t>(</w:t>
      </w:r>
      <w:r>
        <w:rPr>
          <w:sz w:val="22"/>
          <w:szCs w:val="22"/>
          <w:lang w:val="en-GB"/>
        </w:rPr>
        <w:t>based on i.</w:t>
      </w:r>
      <w:proofErr w:type="gramStart"/>
      <w:r>
        <w:rPr>
          <w:sz w:val="22"/>
          <w:szCs w:val="22"/>
          <w:lang w:val="en-GB"/>
        </w:rPr>
        <w:t>a</w:t>
      </w:r>
      <w:proofErr w:type="gramEnd"/>
      <w:r>
        <w:rPr>
          <w:sz w:val="22"/>
          <w:szCs w:val="22"/>
          <w:lang w:val="en-GB"/>
        </w:rPr>
        <w:t xml:space="preserve"> item 3 of supply tender form). In case of candidate being a public body, equivalent information should be provided. The reference period which will be taken into account will be the last three years for which accounts have been closed.</w:t>
      </w:r>
    </w:p>
    <w:p w14:paraId="70E30897" w14:textId="77777777" w:rsidR="0005558A" w:rsidRDefault="00236C78">
      <w:pPr>
        <w:pStyle w:val="Blockquote"/>
        <w:numPr>
          <w:ilvl w:val="0"/>
          <w:numId w:val="3"/>
        </w:numPr>
        <w:ind w:left="1200" w:right="-48"/>
        <w:jc w:val="both"/>
        <w:rPr>
          <w:sz w:val="22"/>
          <w:szCs w:val="22"/>
          <w:lang w:val="en-GB"/>
        </w:rPr>
      </w:pPr>
      <w:r>
        <w:rPr>
          <w:sz w:val="22"/>
          <w:szCs w:val="22"/>
          <w:lang w:val="en-GB"/>
        </w:rPr>
        <w:t>The average annual turnover of the candidate or tenderer must exceed the value of its offer</w:t>
      </w:r>
      <w:r>
        <w:rPr>
          <w:sz w:val="22"/>
          <w:szCs w:val="22"/>
        </w:rPr>
        <w:t>;</w:t>
      </w:r>
    </w:p>
    <w:p w14:paraId="50CD7D71" w14:textId="77777777" w:rsidR="0005558A" w:rsidRDefault="00236C78">
      <w:pPr>
        <w:pStyle w:val="ListParagraph"/>
        <w:numPr>
          <w:ilvl w:val="0"/>
          <w:numId w:val="3"/>
        </w:numPr>
        <w:tabs>
          <w:tab w:val="left" w:pos="1080"/>
          <w:tab w:val="left" w:pos="9072"/>
          <w:tab w:val="left" w:pos="9120"/>
        </w:tabs>
        <w:ind w:left="1080" w:hanging="240"/>
        <w:jc w:val="both"/>
        <w:rPr>
          <w:sz w:val="22"/>
          <w:szCs w:val="22"/>
          <w:lang w:val="en-GB"/>
        </w:rPr>
      </w:pPr>
      <w:r>
        <w:rPr>
          <w:sz w:val="22"/>
          <w:szCs w:val="22"/>
          <w:lang w:val="en-GB"/>
        </w:rPr>
        <w:t>Current ratio (current assets/current liabilities) in the last year for which accounts have been closed must be at least 1. In case of a consortium this criterion must be fulfilled by each member.</w:t>
      </w:r>
    </w:p>
    <w:p w14:paraId="76524A2A" w14:textId="77777777" w:rsidR="0005558A" w:rsidRDefault="0005558A">
      <w:pPr>
        <w:spacing w:before="240" w:after="0"/>
        <w:ind w:left="546" w:right="357" w:firstLine="294"/>
        <w:jc w:val="both"/>
        <w:rPr>
          <w:sz w:val="22"/>
          <w:szCs w:val="22"/>
          <w:lang w:val="en-GB"/>
        </w:rPr>
      </w:pPr>
    </w:p>
    <w:p w14:paraId="4DF41F99" w14:textId="77777777" w:rsidR="0005558A" w:rsidRDefault="00236C78">
      <w:pPr>
        <w:pStyle w:val="Blockquote"/>
        <w:ind w:left="830" w:right="-48" w:hanging="284"/>
        <w:jc w:val="both"/>
        <w:rPr>
          <w:sz w:val="22"/>
          <w:szCs w:val="22"/>
          <w:lang w:val="en-GB"/>
        </w:rPr>
      </w:pPr>
      <w:r>
        <w:rPr>
          <w:b/>
          <w:sz w:val="22"/>
          <w:szCs w:val="22"/>
          <w:u w:val="single"/>
          <w:lang w:val="en-GB"/>
        </w:rPr>
        <w:t>2)</w:t>
      </w:r>
      <w:r>
        <w:rPr>
          <w:sz w:val="22"/>
          <w:szCs w:val="22"/>
          <w:lang w:val="en-GB"/>
        </w:rPr>
        <w:t xml:space="preserve"> </w:t>
      </w:r>
      <w:r>
        <w:rPr>
          <w:b/>
          <w:bCs/>
          <w:sz w:val="22"/>
          <w:szCs w:val="22"/>
          <w:lang w:val="en-GB"/>
        </w:rPr>
        <w:t xml:space="preserve">Technical and </w:t>
      </w:r>
      <w:r>
        <w:rPr>
          <w:b/>
          <w:bCs/>
          <w:sz w:val="22"/>
          <w:szCs w:val="22"/>
          <w:u w:val="single"/>
          <w:lang w:val="en-GB"/>
        </w:rPr>
        <w:t>Professional capacity</w:t>
      </w:r>
      <w:r>
        <w:rPr>
          <w:sz w:val="22"/>
          <w:szCs w:val="22"/>
          <w:lang w:val="en-GB"/>
        </w:rPr>
        <w:t xml:space="preserve"> (based on items on items 4 and 5 and 6 of the tender form for supply contracts). The reference period which will be taken into account will be the last three years preceding the submission deadline.</w:t>
      </w:r>
    </w:p>
    <w:p w14:paraId="296D119E" w14:textId="77777777" w:rsidR="0005558A" w:rsidRDefault="00236C78">
      <w:pPr>
        <w:pStyle w:val="Blockquote"/>
        <w:ind w:left="720" w:right="26" w:firstLine="720"/>
        <w:jc w:val="both"/>
        <w:rPr>
          <w:b/>
          <w:sz w:val="22"/>
          <w:szCs w:val="22"/>
          <w:lang w:val="en-GB"/>
        </w:rPr>
      </w:pPr>
      <w:r>
        <w:rPr>
          <w:sz w:val="22"/>
          <w:szCs w:val="22"/>
          <w:lang w:val="en-GB"/>
        </w:rPr>
        <w:t xml:space="preserve">The candidate has provided services or supplies under at least 1 contract with a budget of at least 30.000 EUR in the field of sales </w:t>
      </w:r>
      <w:r>
        <w:rPr>
          <w:sz w:val="22"/>
          <w:szCs w:val="22"/>
        </w:rPr>
        <w:t xml:space="preserve">of passanger motor vehicles </w:t>
      </w:r>
      <w:r>
        <w:rPr>
          <w:sz w:val="22"/>
          <w:szCs w:val="22"/>
          <w:lang w:val="en-GB"/>
        </w:rPr>
        <w:t>which was implemented at any moment during the reference period: three years preceding the submission deadline.</w:t>
      </w:r>
      <w:r>
        <w:rPr>
          <w:b/>
          <w:sz w:val="22"/>
          <w:szCs w:val="22"/>
          <w:lang w:val="en-GB"/>
        </w:rPr>
        <w:t xml:space="preserve"> </w:t>
      </w:r>
    </w:p>
    <w:p w14:paraId="5849967D" w14:textId="196CEC35" w:rsidR="0005558A" w:rsidRPr="00F5437E" w:rsidRDefault="00236C78">
      <w:pPr>
        <w:pStyle w:val="Blockquote"/>
        <w:ind w:left="720" w:right="26" w:firstLine="720"/>
        <w:jc w:val="both"/>
        <w:rPr>
          <w:bCs/>
          <w:sz w:val="22"/>
          <w:szCs w:val="22"/>
          <w:lang w:val="en-GB"/>
        </w:rPr>
      </w:pPr>
      <w:bookmarkStart w:id="4" w:name="_Hlk72144475"/>
      <w:r w:rsidRPr="00F5437E">
        <w:rPr>
          <w:bCs/>
          <w:sz w:val="22"/>
          <w:szCs w:val="22"/>
          <w:lang w:val="en-GB"/>
        </w:rPr>
        <w:t>The</w:t>
      </w:r>
      <w:r w:rsidR="00F5437E" w:rsidRPr="00F5437E">
        <w:rPr>
          <w:bCs/>
          <w:sz w:val="22"/>
          <w:szCs w:val="22"/>
          <w:lang w:val="en-GB"/>
        </w:rPr>
        <w:t xml:space="preserve">re must be </w:t>
      </w:r>
      <w:r w:rsidRPr="00F5437E">
        <w:rPr>
          <w:bCs/>
          <w:sz w:val="22"/>
          <w:szCs w:val="22"/>
          <w:lang w:val="en-GB"/>
        </w:rPr>
        <w:t>authorized service for the offered e vehicles in Republic of North Macedonia</w:t>
      </w:r>
    </w:p>
    <w:bookmarkEnd w:id="4"/>
    <w:p w14:paraId="3914E32D" w14:textId="77777777" w:rsidR="0005558A" w:rsidRDefault="00236C78" w:rsidP="00F5437E">
      <w:pPr>
        <w:pStyle w:val="Blockquote"/>
        <w:ind w:left="720" w:right="26" w:firstLine="720"/>
        <w:jc w:val="both"/>
        <w:rPr>
          <w:b/>
          <w:sz w:val="22"/>
          <w:szCs w:val="22"/>
          <w:lang w:val="en-GB"/>
        </w:rPr>
      </w:pPr>
      <w:r>
        <w:rPr>
          <w:sz w:val="22"/>
          <w:szCs w:val="22"/>
          <w:lang w:val="en-GB"/>
        </w:rPr>
        <w:t>This means that the contract the candidate refers to could have been started at any time during the indicated period but it does not necessarily have to be completed during that period, nor implemented during the entire period.</w:t>
      </w:r>
      <w:r>
        <w:t xml:space="preserve"> </w:t>
      </w:r>
      <w:r>
        <w:rPr>
          <w:sz w:val="22"/>
          <w:szCs w:val="22"/>
          <w:lang w:val="en-GB"/>
        </w:rPr>
        <w:t>Candidates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candidate has implemented the project in a consortium, the percentage that the candidate has successfully completed must be clear from the documentary evidence, together with a description of the nature of the services provided if the selection criteria relating to the pertinence of the experience have been used.</w:t>
      </w:r>
    </w:p>
    <w:p w14:paraId="715C084A" w14:textId="77777777" w:rsidR="0005558A" w:rsidRDefault="00236C78">
      <w:pPr>
        <w:pStyle w:val="Blockquote"/>
        <w:ind w:left="710" w:right="26"/>
        <w:jc w:val="both"/>
        <w:rPr>
          <w:b/>
          <w:sz w:val="22"/>
          <w:szCs w:val="22"/>
          <w:lang w:val="en-GB"/>
        </w:rPr>
      </w:pPr>
      <w:r>
        <w:rPr>
          <w:sz w:val="22"/>
          <w:szCs w:val="22"/>
          <w:lang w:val="en-GB"/>
        </w:rPr>
        <w:t xml:space="preserve">Previous experience which caused breach of contract and termination by a contracting authority shall not be used as reference. </w:t>
      </w:r>
    </w:p>
    <w:p w14:paraId="72B70201" w14:textId="77777777" w:rsidR="0005558A" w:rsidRDefault="0005558A">
      <w:pPr>
        <w:pStyle w:val="Blockquote"/>
        <w:ind w:left="480"/>
        <w:jc w:val="both"/>
        <w:rPr>
          <w:sz w:val="22"/>
          <w:szCs w:val="22"/>
          <w:lang w:val="en-GB"/>
        </w:rPr>
      </w:pPr>
    </w:p>
    <w:p w14:paraId="71D4DBC4" w14:textId="77777777" w:rsidR="0005558A" w:rsidRDefault="00236C78">
      <w:pPr>
        <w:pStyle w:val="Blockquote"/>
        <w:ind w:left="480"/>
        <w:jc w:val="both"/>
        <w:rPr>
          <w:sz w:val="22"/>
          <w:szCs w:val="22"/>
          <w:lang w:val="en-GB"/>
        </w:rPr>
      </w:pPr>
      <w:r>
        <w:rPr>
          <w:sz w:val="22"/>
          <w:szCs w:val="22"/>
          <w:lang w:val="en-GB"/>
        </w:rPr>
        <w:t>Capacity-providing entities</w:t>
      </w:r>
    </w:p>
    <w:p w14:paraId="0DFFF4B4" w14:textId="77777777" w:rsidR="0005558A" w:rsidRDefault="00236C78">
      <w:pPr>
        <w:pStyle w:val="Blockquote"/>
        <w:ind w:left="480"/>
        <w:jc w:val="both"/>
        <w:rPr>
          <w:sz w:val="22"/>
          <w:szCs w:val="22"/>
          <w:lang w:val="en-GB"/>
        </w:rPr>
      </w:pPr>
      <w:r>
        <w:rPr>
          <w:sz w:val="22"/>
          <w:szCs w:val="22"/>
          <w:lang w:val="en-GB"/>
        </w:rPr>
        <w:lastRenderedPageBreak/>
        <w:t xml:space="preserve">An economic operator may, where appropriate and for a particular contract, rely on the capacities of other entities, regardless of the legal nature of the links which it has with them. If the economic operator relies on other </w:t>
      </w:r>
      <w:proofErr w:type="gramStart"/>
      <w:r>
        <w:rPr>
          <w:sz w:val="22"/>
          <w:szCs w:val="22"/>
          <w:lang w:val="en-GB"/>
        </w:rPr>
        <w:t>entities</w:t>
      </w:r>
      <w:proofErr w:type="gramEnd"/>
      <w:r>
        <w:rPr>
          <w:sz w:val="22"/>
          <w:szCs w:val="22"/>
          <w:lang w:val="en-GB"/>
        </w:rPr>
        <w:t xml:space="preserve"> it must in that case prove to the contracting authority that it will have at its disposal the resources necessary for performance of the contract by producing a commitment by those entities to place those resources at its disposal. Such entities</w:t>
      </w:r>
      <w:r>
        <w:rPr>
          <w:sz w:val="22"/>
          <w:szCs w:val="22"/>
        </w:rPr>
        <w:t xml:space="preserve">, for instance the parent company of the economic operator, </w:t>
      </w:r>
      <w:r>
        <w:rPr>
          <w:sz w:val="22"/>
          <w:szCs w:val="22"/>
          <w:lang w:val="en-GB"/>
        </w:rPr>
        <w:t>must respect the same rules of eligibility and notably that of nationality as the economic operator relying on them and must comply with the selection criteria for which the economic operator relies on them. Furthermore, the data for this third entity for the relevant selection criterion should be included in a separate document. Proof of the capacity will also have to be provided when requested by the contracting authority.</w:t>
      </w:r>
    </w:p>
    <w:p w14:paraId="2F5B52AA" w14:textId="77777777" w:rsidR="0005558A" w:rsidRDefault="00236C78">
      <w:pPr>
        <w:pStyle w:val="Blockquote"/>
        <w:ind w:left="480"/>
        <w:jc w:val="both"/>
        <w:rPr>
          <w:sz w:val="22"/>
          <w:szCs w:val="22"/>
          <w:lang w:val="en-GB"/>
        </w:rPr>
      </w:pPr>
      <w:r>
        <w:rPr>
          <w:sz w:val="22"/>
          <w:szCs w:val="22"/>
          <w:lang w:val="en-GB"/>
        </w:rPr>
        <w:t>With regard to technical and professional criteria, an economic operator may only rely on the capacities of other entities where the latter will perform the tasks for which these capacities are required.</w:t>
      </w:r>
      <w:r>
        <w:rPr>
          <w:sz w:val="22"/>
          <w:lang w:val="en-GB"/>
        </w:rPr>
        <w:t xml:space="preserve"> </w:t>
      </w:r>
    </w:p>
    <w:p w14:paraId="5D7F2337" w14:textId="77777777" w:rsidR="0005558A" w:rsidRDefault="00236C78">
      <w:pPr>
        <w:pStyle w:val="Blockquote"/>
        <w:ind w:left="480"/>
        <w:jc w:val="both"/>
        <w:rPr>
          <w:sz w:val="22"/>
          <w:szCs w:val="22"/>
          <w:lang w:val="en-GB"/>
        </w:rPr>
      </w:pPr>
      <w:r>
        <w:rPr>
          <w:sz w:val="22"/>
          <w:szCs w:val="22"/>
          <w:lang w:val="en-GB"/>
        </w:rPr>
        <w:t>With regard to economic and financial criteria, the entities upon whose capacity the economic operator relies, become jointly and severally liable for the performance of the contract.</w:t>
      </w:r>
    </w:p>
    <w:p w14:paraId="7176DE8D" w14:textId="77777777" w:rsidR="0005558A" w:rsidRDefault="0005558A">
      <w:pPr>
        <w:pStyle w:val="Blockquote"/>
        <w:ind w:left="1418" w:hanging="283"/>
        <w:jc w:val="both"/>
        <w:rPr>
          <w:sz w:val="22"/>
          <w:szCs w:val="22"/>
          <w:lang w:val="en-GB"/>
        </w:rPr>
      </w:pPr>
    </w:p>
    <w:p w14:paraId="7844C4CD" w14:textId="77777777" w:rsidR="0005558A" w:rsidRDefault="00236C78">
      <w:pPr>
        <w:pStyle w:val="PRAGHeading2"/>
        <w:ind w:left="426" w:hanging="426"/>
        <w:rPr>
          <w:rStyle w:val="Strong"/>
          <w:sz w:val="22"/>
          <w:szCs w:val="22"/>
          <w:lang w:val="en-GB"/>
        </w:rPr>
      </w:pPr>
      <w:r>
        <w:rPr>
          <w:rStyle w:val="Strong"/>
          <w:sz w:val="22"/>
          <w:szCs w:val="22"/>
          <w:lang w:val="en-GB"/>
        </w:rPr>
        <w:t>Award criteria</w:t>
      </w:r>
    </w:p>
    <w:p w14:paraId="013ED6CD" w14:textId="77777777" w:rsidR="0005558A" w:rsidRDefault="00236C78">
      <w:pPr>
        <w:pStyle w:val="Blockquote"/>
        <w:ind w:left="426"/>
        <w:jc w:val="both"/>
        <w:rPr>
          <w:sz w:val="22"/>
          <w:szCs w:val="22"/>
          <w:lang w:val="en-GB"/>
        </w:rPr>
      </w:pPr>
      <w:r>
        <w:rPr>
          <w:sz w:val="22"/>
          <w:szCs w:val="22"/>
          <w:lang w:val="en-GB"/>
        </w:rPr>
        <w:t>Price.</w:t>
      </w:r>
    </w:p>
    <w:p w14:paraId="62C3205B" w14:textId="77777777" w:rsidR="0005558A" w:rsidRDefault="00236C78">
      <w:pPr>
        <w:rPr>
          <w:sz w:val="22"/>
          <w:szCs w:val="22"/>
          <w:lang w:val="en-GB"/>
        </w:rPr>
      </w:pPr>
      <w:r>
        <w:rPr>
          <w:noProof/>
          <w:snapToGrid/>
          <w:sz w:val="22"/>
          <w:szCs w:val="22"/>
          <w:lang w:val="en-IE" w:eastAsia="en-IE"/>
        </w:rPr>
        <mc:AlternateContent>
          <mc:Choice Requires="wps">
            <w:drawing>
              <wp:anchor distT="0" distB="0" distL="114300" distR="114300" simplePos="0" relativeHeight="251660288" behindDoc="0" locked="0" layoutInCell="0" allowOverlap="1" wp14:anchorId="58FE605C" wp14:editId="31C37E2B">
                <wp:simplePos x="0" y="0"/>
                <wp:positionH relativeFrom="column">
                  <wp:posOffset>0</wp:posOffset>
                </wp:positionH>
                <wp:positionV relativeFrom="paragraph">
                  <wp:posOffset>152400</wp:posOffset>
                </wp:positionV>
                <wp:extent cx="5943600" cy="635"/>
                <wp:effectExtent l="19050" t="29845" r="19050" b="17145"/>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ln>
                        <a:effectLst>
                          <a:outerShdw dist="12700" dir="16200000" algn="tr" rotWithShape="0">
                            <a:srgbClr val="808080"/>
                          </a:outerShdw>
                        </a:effectLst>
                      </wps:spPr>
                      <wps:bodyPr/>
                    </wps:wsp>
                  </a:graphicData>
                </a:graphic>
              </wp:anchor>
            </w:drawing>
          </mc:Choice>
          <mc:Fallback xmlns:wpsCustomData="http://www.wps.cn/officeDocument/2013/wpsCustomData">
            <w:pict>
              <v:line id="_x0000_s1026" o:spid="_x0000_s1026" o:spt="20" style="position:absolute;left:0pt;margin-left:0pt;margin-top:12pt;height:0.05pt;width:468pt;z-index:251660288;mso-width-relative:page;mso-height-relative:page;" filled="f" stroked="t" coordsize="21600,21600" o:allowincell="f" o:gfxdata="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Su0VC1AAAAAYBAAAPAAAAAAAAAAEA&#10;IAAAACIAAABkcnMvZG93bnJldi54bWxQSwECFAAUAAAACACHTuJATzm2QhMCAAA2BAAADgAAAAAA&#10;AAABACAAAAAjAQAAZHJzL2Uyb0RvYy54bWxQSwUGAAAAAAYABgBZAQAAqAUAAAAA&#10;">
                <v:fill on="f" focussize="0,0"/>
                <v:stroke weight="1.75pt" color="#D4D4D4" joinstyle="round"/>
                <v:imagedata o:title=""/>
                <o:lock v:ext="edit" aspectratio="f"/>
                <v:shadow on="t" color="#808080" offset="0pt,-1pt" origin="32768f,-32768f" matrix="65536f,0f,0f,65536f"/>
              </v:line>
            </w:pict>
          </mc:Fallback>
        </mc:AlternateContent>
      </w:r>
    </w:p>
    <w:p w14:paraId="72BD3180" w14:textId="77777777" w:rsidR="0005558A" w:rsidRDefault="00236C78">
      <w:pPr>
        <w:pStyle w:val="PRAGHeading2"/>
        <w:numPr>
          <w:ilvl w:val="0"/>
          <w:numId w:val="0"/>
        </w:numPr>
        <w:spacing w:after="240"/>
        <w:ind w:left="284"/>
        <w:jc w:val="center"/>
        <w:rPr>
          <w:rStyle w:val="Strong"/>
          <w:sz w:val="22"/>
          <w:szCs w:val="22"/>
          <w:lang w:val="en-GB"/>
        </w:rPr>
      </w:pPr>
      <w:r>
        <w:rPr>
          <w:rStyle w:val="Strong"/>
          <w:sz w:val="22"/>
          <w:szCs w:val="22"/>
          <w:lang w:val="en-GB"/>
        </w:rPr>
        <w:t>APPLICATION AND TENDERING</w:t>
      </w:r>
    </w:p>
    <w:p w14:paraId="5F20FD20" w14:textId="77777777" w:rsidR="0005558A" w:rsidRDefault="00236C78">
      <w:pPr>
        <w:pStyle w:val="PRAGHeading2"/>
        <w:ind w:left="426" w:hanging="426"/>
        <w:rPr>
          <w:rStyle w:val="Strong"/>
          <w:sz w:val="22"/>
          <w:szCs w:val="22"/>
          <w:lang w:val="en-GB"/>
        </w:rPr>
      </w:pPr>
      <w:r>
        <w:rPr>
          <w:rStyle w:val="Strong"/>
          <w:sz w:val="22"/>
          <w:szCs w:val="22"/>
          <w:lang w:val="en-GB"/>
        </w:rPr>
        <w:t>Tender opening session</w:t>
      </w:r>
    </w:p>
    <w:p w14:paraId="0F9B97C2" w14:textId="3567147F" w:rsidR="0005558A" w:rsidRDefault="00DF1F13">
      <w:pPr>
        <w:pStyle w:val="PRAGHeading2"/>
        <w:numPr>
          <w:ilvl w:val="0"/>
          <w:numId w:val="0"/>
        </w:numPr>
        <w:ind w:left="426"/>
        <w:rPr>
          <w:sz w:val="22"/>
          <w:szCs w:val="22"/>
          <w:lang w:val="en-GB"/>
        </w:rPr>
      </w:pPr>
      <w:r>
        <w:rPr>
          <w:sz w:val="22"/>
          <w:szCs w:val="22"/>
          <w:highlight w:val="yellow"/>
          <w:lang w:val="en-GB"/>
        </w:rPr>
        <w:t>22</w:t>
      </w:r>
      <w:r w:rsidR="00236C78" w:rsidRPr="00236C78">
        <w:rPr>
          <w:sz w:val="22"/>
          <w:szCs w:val="22"/>
          <w:highlight w:val="yellow"/>
          <w:lang w:val="en-GB"/>
        </w:rPr>
        <w:t>.0</w:t>
      </w:r>
      <w:r w:rsidR="00F5437E">
        <w:rPr>
          <w:sz w:val="22"/>
          <w:szCs w:val="22"/>
          <w:highlight w:val="yellow"/>
          <w:lang w:val="en-GB"/>
        </w:rPr>
        <w:t>6</w:t>
      </w:r>
      <w:r w:rsidR="00236C78" w:rsidRPr="00236C78">
        <w:rPr>
          <w:sz w:val="22"/>
          <w:szCs w:val="22"/>
          <w:highlight w:val="yellow"/>
          <w:lang w:val="en-GB"/>
        </w:rPr>
        <w:t>.2021 at 1</w:t>
      </w:r>
      <w:r w:rsidR="00F5437E">
        <w:rPr>
          <w:sz w:val="22"/>
          <w:szCs w:val="22"/>
          <w:highlight w:val="yellow"/>
          <w:lang w:val="en-GB"/>
        </w:rPr>
        <w:t>0</w:t>
      </w:r>
      <w:r w:rsidR="00236C78" w:rsidRPr="00236C78">
        <w:rPr>
          <w:sz w:val="22"/>
          <w:szCs w:val="22"/>
          <w:highlight w:val="yellow"/>
          <w:lang w:val="en-GB"/>
        </w:rPr>
        <w:t>:00</w:t>
      </w:r>
      <w:r w:rsidR="00236C78">
        <w:rPr>
          <w:sz w:val="22"/>
          <w:szCs w:val="22"/>
          <w:lang w:val="en-GB"/>
        </w:rPr>
        <w:t xml:space="preserve"> at Municipality of Bitola, 61 Boulevard 1-st of May, 7000 Bitola</w:t>
      </w:r>
    </w:p>
    <w:p w14:paraId="5F19ACDD" w14:textId="77777777" w:rsidR="0005558A" w:rsidRDefault="00236C78">
      <w:pPr>
        <w:pStyle w:val="PRAGHeading2"/>
        <w:ind w:left="426" w:hanging="426"/>
        <w:jc w:val="both"/>
        <w:rPr>
          <w:rStyle w:val="Strong"/>
          <w:sz w:val="22"/>
          <w:szCs w:val="22"/>
          <w:lang w:val="en-GB"/>
        </w:rPr>
      </w:pPr>
      <w:r>
        <w:rPr>
          <w:rStyle w:val="Strong"/>
          <w:sz w:val="22"/>
          <w:szCs w:val="22"/>
          <w:lang w:val="en-GB"/>
        </w:rPr>
        <w:t xml:space="preserve">How applications may be submitted </w:t>
      </w:r>
    </w:p>
    <w:p w14:paraId="77098DBF" w14:textId="77777777" w:rsidR="0005558A" w:rsidRDefault="00236C78">
      <w:pPr>
        <w:ind w:left="426"/>
        <w:jc w:val="both"/>
        <w:rPr>
          <w:sz w:val="22"/>
          <w:szCs w:val="22"/>
          <w:lang w:val="en-GB"/>
        </w:rPr>
      </w:pPr>
      <w:r>
        <w:rPr>
          <w:sz w:val="22"/>
          <w:szCs w:val="22"/>
          <w:lang w:val="en-GB"/>
        </w:rPr>
        <w:t>Applications must be submitted in English exclusively to the contracting authority in a sealed envelope.</w:t>
      </w:r>
    </w:p>
    <w:p w14:paraId="448FD511" w14:textId="77777777" w:rsidR="0005558A" w:rsidRDefault="00236C78">
      <w:pPr>
        <w:numPr>
          <w:ilvl w:val="0"/>
          <w:numId w:val="4"/>
        </w:numPr>
        <w:rPr>
          <w:sz w:val="22"/>
          <w:szCs w:val="22"/>
          <w:lang w:val="en-GB"/>
        </w:rPr>
      </w:pPr>
      <w:r>
        <w:rPr>
          <w:sz w:val="22"/>
          <w:szCs w:val="22"/>
          <w:lang w:val="en-GB"/>
        </w:rPr>
        <w:t xml:space="preserve">Either by post or by courier service, in which case the evidence shall be constituted by the postmark or the date of the deposit </w:t>
      </w:r>
      <w:proofErr w:type="gramStart"/>
      <w:r>
        <w:rPr>
          <w:sz w:val="22"/>
          <w:szCs w:val="22"/>
          <w:lang w:val="en-GB"/>
        </w:rPr>
        <w:t>slip,  to</w:t>
      </w:r>
      <w:proofErr w:type="gramEnd"/>
      <w:r>
        <w:rPr>
          <w:sz w:val="22"/>
          <w:szCs w:val="22"/>
          <w:lang w:val="en-GB"/>
        </w:rPr>
        <w:t xml:space="preserve">: </w:t>
      </w:r>
    </w:p>
    <w:p w14:paraId="5CEDD09B" w14:textId="77777777" w:rsidR="0005558A" w:rsidRDefault="0005558A">
      <w:pPr>
        <w:ind w:left="1069"/>
        <w:rPr>
          <w:sz w:val="22"/>
          <w:szCs w:val="22"/>
          <w:lang w:val="en-GB"/>
        </w:rPr>
      </w:pPr>
    </w:p>
    <w:p w14:paraId="2A68A593" w14:textId="72387CFF" w:rsidR="0005558A" w:rsidRDefault="00236C78">
      <w:pPr>
        <w:pStyle w:val="Blockquote"/>
        <w:ind w:left="1069"/>
        <w:jc w:val="center"/>
        <w:rPr>
          <w:sz w:val="22"/>
          <w:szCs w:val="22"/>
          <w:lang w:val="en-GB"/>
        </w:rPr>
      </w:pPr>
      <w:bookmarkStart w:id="5" w:name="_Hlk52741498"/>
      <w:r>
        <w:rPr>
          <w:sz w:val="22"/>
          <w:szCs w:val="22"/>
          <w:lang w:val="en-GB"/>
        </w:rPr>
        <w:t xml:space="preserve">Municipality of Bitola/Project </w:t>
      </w:r>
      <w:r w:rsidR="00B00563" w:rsidRPr="00B00563">
        <w:rPr>
          <w:sz w:val="22"/>
          <w:szCs w:val="22"/>
          <w:lang w:val="en-GB"/>
        </w:rPr>
        <w:t xml:space="preserve">Integration of Green Transport in </w:t>
      </w:r>
      <w:proofErr w:type="gramStart"/>
      <w:r w:rsidR="00B00563" w:rsidRPr="00B00563">
        <w:rPr>
          <w:sz w:val="22"/>
          <w:szCs w:val="22"/>
          <w:lang w:val="en-GB"/>
        </w:rPr>
        <w:t>Cities  -</w:t>
      </w:r>
      <w:proofErr w:type="gramEnd"/>
      <w:r w:rsidR="00B00563" w:rsidRPr="00B00563">
        <w:rPr>
          <w:sz w:val="22"/>
          <w:szCs w:val="22"/>
          <w:lang w:val="en-GB"/>
        </w:rPr>
        <w:t xml:space="preserve"> Green Inter-e-Mobility</w:t>
      </w:r>
      <w:r w:rsidR="00DF1F13">
        <w:rPr>
          <w:sz w:val="22"/>
          <w:szCs w:val="22"/>
          <w:lang w:val="en-GB"/>
        </w:rPr>
        <w:t xml:space="preserve"> </w:t>
      </w:r>
      <w:r w:rsidR="00DF1F13" w:rsidRPr="00DF1F13">
        <w:rPr>
          <w:sz w:val="22"/>
          <w:szCs w:val="22"/>
          <w:lang w:val="en-GB"/>
        </w:rPr>
        <w:t>PUBLICATION REF.: 08-258/3</w:t>
      </w:r>
    </w:p>
    <w:p w14:paraId="0BA4B506" w14:textId="77777777" w:rsidR="0005558A" w:rsidRDefault="00236C78">
      <w:pPr>
        <w:pStyle w:val="Blockquote"/>
        <w:ind w:left="1069"/>
        <w:jc w:val="center"/>
        <w:rPr>
          <w:sz w:val="22"/>
          <w:szCs w:val="22"/>
          <w:lang w:val="en-GB"/>
        </w:rPr>
      </w:pPr>
      <w:r>
        <w:rPr>
          <w:sz w:val="22"/>
          <w:szCs w:val="22"/>
          <w:lang w:val="en-GB"/>
        </w:rPr>
        <w:t>61 Boulevard 1-st of May</w:t>
      </w:r>
    </w:p>
    <w:p w14:paraId="48C158A2" w14:textId="77777777" w:rsidR="0005558A" w:rsidRDefault="00236C78">
      <w:pPr>
        <w:pStyle w:val="Blockquote"/>
        <w:ind w:left="1069"/>
        <w:jc w:val="center"/>
        <w:rPr>
          <w:sz w:val="22"/>
          <w:szCs w:val="22"/>
          <w:lang w:val="en-GB"/>
        </w:rPr>
      </w:pPr>
      <w:r>
        <w:rPr>
          <w:sz w:val="22"/>
          <w:szCs w:val="22"/>
          <w:lang w:val="en-GB"/>
        </w:rPr>
        <w:t>7000 Bitola</w:t>
      </w:r>
      <w:bookmarkEnd w:id="5"/>
    </w:p>
    <w:p w14:paraId="3C721432" w14:textId="77777777" w:rsidR="0005558A" w:rsidRDefault="00236C78">
      <w:pPr>
        <w:numPr>
          <w:ilvl w:val="0"/>
          <w:numId w:val="4"/>
        </w:numPr>
        <w:rPr>
          <w:sz w:val="22"/>
          <w:szCs w:val="22"/>
          <w:lang w:val="en-GB"/>
        </w:rPr>
      </w:pPr>
      <w:r>
        <w:rPr>
          <w:sz w:val="22"/>
          <w:szCs w:val="22"/>
          <w:lang w:val="en-GB"/>
        </w:rPr>
        <w:t>OR hand delivered by the participant in person or by an agent</w:t>
      </w:r>
      <w:r>
        <w:t xml:space="preserve"> directly</w:t>
      </w:r>
      <w:r>
        <w:rPr>
          <w:sz w:val="22"/>
          <w:szCs w:val="22"/>
          <w:lang w:val="en-GB"/>
        </w:rPr>
        <w:t xml:space="preserve"> to the premises of the contracting authority in return for a </w:t>
      </w:r>
      <w:r>
        <w:t>signed and dated receipt</w:t>
      </w:r>
      <w:r>
        <w:rPr>
          <w:sz w:val="22"/>
          <w:szCs w:val="22"/>
          <w:lang w:val="en-GB"/>
        </w:rPr>
        <w:t xml:space="preserve">, in which case the evidence shall be constituted by this acknowledgement of receipt, to: </w:t>
      </w:r>
    </w:p>
    <w:p w14:paraId="7F7D97BB" w14:textId="77777777" w:rsidR="0005558A" w:rsidRDefault="0005558A">
      <w:pPr>
        <w:ind w:left="1069"/>
        <w:rPr>
          <w:sz w:val="22"/>
          <w:szCs w:val="22"/>
          <w:lang w:val="en-GB"/>
        </w:rPr>
      </w:pPr>
    </w:p>
    <w:p w14:paraId="1032CB69" w14:textId="6268D504" w:rsidR="0005558A" w:rsidRDefault="00236C78">
      <w:pPr>
        <w:pStyle w:val="ListParagraph"/>
        <w:ind w:left="1069"/>
        <w:jc w:val="center"/>
        <w:rPr>
          <w:sz w:val="22"/>
          <w:szCs w:val="22"/>
          <w:lang w:val="en-GB"/>
        </w:rPr>
      </w:pPr>
      <w:r>
        <w:rPr>
          <w:sz w:val="22"/>
          <w:szCs w:val="22"/>
          <w:lang w:val="en-GB"/>
        </w:rPr>
        <w:t xml:space="preserve">Municipality of Bitola/Project </w:t>
      </w:r>
      <w:r w:rsidR="00B00563" w:rsidRPr="00B00563">
        <w:rPr>
          <w:sz w:val="22"/>
          <w:szCs w:val="22"/>
          <w:lang w:val="en-GB"/>
        </w:rPr>
        <w:t xml:space="preserve">Integration of Green Transport in </w:t>
      </w:r>
      <w:proofErr w:type="gramStart"/>
      <w:r w:rsidR="00B00563" w:rsidRPr="00B00563">
        <w:rPr>
          <w:sz w:val="22"/>
          <w:szCs w:val="22"/>
          <w:lang w:val="en-GB"/>
        </w:rPr>
        <w:t>Cities  -</w:t>
      </w:r>
      <w:proofErr w:type="gramEnd"/>
      <w:r w:rsidR="00B00563" w:rsidRPr="00B00563">
        <w:rPr>
          <w:sz w:val="22"/>
          <w:szCs w:val="22"/>
          <w:lang w:val="en-GB"/>
        </w:rPr>
        <w:t xml:space="preserve"> Green Inter-e-Mobility</w:t>
      </w:r>
      <w:r w:rsidR="00DF1F13">
        <w:rPr>
          <w:sz w:val="22"/>
          <w:szCs w:val="22"/>
          <w:lang w:val="en-GB"/>
        </w:rPr>
        <w:t xml:space="preserve"> </w:t>
      </w:r>
      <w:r w:rsidR="00DF1F13" w:rsidRPr="00DF1F13">
        <w:rPr>
          <w:sz w:val="22"/>
          <w:szCs w:val="22"/>
          <w:lang w:val="en-GB"/>
        </w:rPr>
        <w:t>PUBLICATION REF.: 08-258/3</w:t>
      </w:r>
    </w:p>
    <w:p w14:paraId="07B232F8" w14:textId="77777777" w:rsidR="0005558A" w:rsidRDefault="00236C78">
      <w:pPr>
        <w:pStyle w:val="ListParagraph"/>
        <w:ind w:left="1069"/>
        <w:jc w:val="center"/>
        <w:rPr>
          <w:sz w:val="22"/>
          <w:szCs w:val="22"/>
          <w:lang w:val="en-GB"/>
        </w:rPr>
      </w:pPr>
      <w:r>
        <w:rPr>
          <w:sz w:val="22"/>
          <w:szCs w:val="22"/>
          <w:lang w:val="mk-MK"/>
        </w:rPr>
        <w:t xml:space="preserve">61 </w:t>
      </w:r>
      <w:r>
        <w:rPr>
          <w:sz w:val="22"/>
          <w:szCs w:val="22"/>
          <w:lang w:val="en-GB"/>
        </w:rPr>
        <w:t>Boulevard 1-st of May</w:t>
      </w:r>
    </w:p>
    <w:p w14:paraId="5A5A13EE" w14:textId="77777777" w:rsidR="0005558A" w:rsidRDefault="00236C78">
      <w:pPr>
        <w:pStyle w:val="ListParagraph"/>
        <w:ind w:left="1069"/>
        <w:jc w:val="center"/>
        <w:rPr>
          <w:sz w:val="22"/>
          <w:szCs w:val="22"/>
          <w:lang w:val="en-GB"/>
        </w:rPr>
      </w:pPr>
      <w:r>
        <w:rPr>
          <w:sz w:val="22"/>
          <w:szCs w:val="22"/>
          <w:lang w:val="en-GB"/>
        </w:rPr>
        <w:lastRenderedPageBreak/>
        <w:t>7000 Bitola</w:t>
      </w:r>
    </w:p>
    <w:p w14:paraId="4CBB885F" w14:textId="77777777" w:rsidR="0005558A" w:rsidRDefault="00236C78">
      <w:pPr>
        <w:pStyle w:val="ListParagraph"/>
        <w:ind w:left="1069"/>
        <w:jc w:val="center"/>
        <w:rPr>
          <w:sz w:val="22"/>
          <w:szCs w:val="22"/>
          <w:lang w:val="en-GB"/>
        </w:rPr>
      </w:pPr>
      <w:r>
        <w:rPr>
          <w:sz w:val="22"/>
          <w:szCs w:val="22"/>
          <w:lang w:val="en-GB"/>
        </w:rPr>
        <w:t>Every workday from 8:00 to 16:00</w:t>
      </w:r>
    </w:p>
    <w:p w14:paraId="516B8877" w14:textId="77777777" w:rsidR="0005558A" w:rsidRDefault="00236C78">
      <w:pPr>
        <w:pStyle w:val="BodyText"/>
        <w:ind w:left="1069"/>
        <w:jc w:val="center"/>
        <w:rPr>
          <w:sz w:val="22"/>
        </w:rPr>
      </w:pPr>
      <w:r>
        <w:rPr>
          <w:sz w:val="22"/>
        </w:rPr>
        <w:t>Contact person: Natasha Lukic – project manager</w:t>
      </w:r>
    </w:p>
    <w:p w14:paraId="255F22E9" w14:textId="77777777" w:rsidR="0005558A" w:rsidRDefault="0005558A">
      <w:pPr>
        <w:pStyle w:val="BodyText"/>
        <w:ind w:left="1069"/>
        <w:jc w:val="center"/>
        <w:rPr>
          <w:sz w:val="22"/>
        </w:rPr>
      </w:pPr>
    </w:p>
    <w:p w14:paraId="4DCB0AC7" w14:textId="77777777" w:rsidR="0005558A" w:rsidRDefault="00236C78">
      <w:pPr>
        <w:ind w:left="426"/>
        <w:jc w:val="both"/>
        <w:rPr>
          <w:sz w:val="22"/>
          <w:szCs w:val="22"/>
          <w:lang w:val="en-GB"/>
        </w:rPr>
      </w:pPr>
      <w:r>
        <w:rPr>
          <w:sz w:val="22"/>
          <w:szCs w:val="22"/>
          <w:lang w:val="en-GB"/>
        </w:rPr>
        <w:t xml:space="preserve">The contract title and publication reference (see contract notice) must be clearly marked on the envelope containing the application and must always be mentioned in all subsequent correspondence with the contracting authority. </w:t>
      </w:r>
    </w:p>
    <w:p w14:paraId="01694EBC" w14:textId="77777777" w:rsidR="0005558A" w:rsidRDefault="00236C78">
      <w:pPr>
        <w:tabs>
          <w:tab w:val="left" w:pos="426"/>
        </w:tabs>
        <w:ind w:left="426"/>
        <w:jc w:val="both"/>
        <w:rPr>
          <w:sz w:val="22"/>
          <w:szCs w:val="22"/>
          <w:lang w:val="en-GB"/>
        </w:rPr>
      </w:pPr>
      <w:r>
        <w:rPr>
          <w:sz w:val="22"/>
          <w:szCs w:val="22"/>
          <w:lang w:val="en-GB"/>
        </w:rPr>
        <w:t xml:space="preserve">Applications submitted by any other means will not be considered. </w:t>
      </w:r>
    </w:p>
    <w:p w14:paraId="3FFE3EFD" w14:textId="70E153B3" w:rsidR="0005558A" w:rsidRDefault="00236C78">
      <w:pPr>
        <w:tabs>
          <w:tab w:val="left" w:pos="426"/>
        </w:tabs>
        <w:ind w:left="426"/>
        <w:jc w:val="both"/>
        <w:rPr>
          <w:sz w:val="22"/>
          <w:szCs w:val="22"/>
          <w:lang w:val="en-GB"/>
        </w:rPr>
      </w:pPr>
      <w:r>
        <w:rPr>
          <w:sz w:val="22"/>
          <w:szCs w:val="22"/>
          <w:lang w:val="en-GB"/>
        </w:rPr>
        <w:t xml:space="preserve">By submitting an </w:t>
      </w:r>
      <w:r w:rsidR="00F5437E">
        <w:rPr>
          <w:sz w:val="22"/>
          <w:szCs w:val="22"/>
          <w:lang w:val="en-GB"/>
        </w:rPr>
        <w:t>application candidate</w:t>
      </w:r>
      <w:r>
        <w:rPr>
          <w:sz w:val="22"/>
          <w:szCs w:val="22"/>
          <w:lang w:val="en-GB"/>
        </w:rPr>
        <w:t xml:space="preserve"> accept to receive notification of the outcome of the procedure by electronic means. Such notification shall be deemed to have been received on the date upon which the contracting authority sends it to the electronic address referred to in the application form. </w:t>
      </w:r>
    </w:p>
    <w:p w14:paraId="17C34EB3" w14:textId="77777777" w:rsidR="0005558A" w:rsidRDefault="0005558A">
      <w:pPr>
        <w:tabs>
          <w:tab w:val="left" w:pos="426"/>
        </w:tabs>
        <w:ind w:left="426"/>
        <w:jc w:val="both"/>
        <w:rPr>
          <w:sz w:val="22"/>
          <w:szCs w:val="22"/>
          <w:lang w:val="en-GB"/>
        </w:rPr>
      </w:pPr>
    </w:p>
    <w:p w14:paraId="3AAEDF5A" w14:textId="77777777" w:rsidR="0005558A" w:rsidRDefault="0005558A">
      <w:pPr>
        <w:tabs>
          <w:tab w:val="left" w:pos="426"/>
        </w:tabs>
        <w:ind w:left="426"/>
        <w:jc w:val="both"/>
        <w:rPr>
          <w:sz w:val="22"/>
          <w:szCs w:val="22"/>
          <w:lang w:val="en-GB"/>
        </w:rPr>
      </w:pPr>
    </w:p>
    <w:p w14:paraId="61BB4D9E" w14:textId="77777777" w:rsidR="0005558A" w:rsidRDefault="0005558A">
      <w:pPr>
        <w:tabs>
          <w:tab w:val="left" w:pos="426"/>
        </w:tabs>
        <w:ind w:left="426"/>
        <w:jc w:val="both"/>
        <w:rPr>
          <w:sz w:val="22"/>
          <w:szCs w:val="22"/>
          <w:lang w:val="en-GB"/>
        </w:rPr>
      </w:pPr>
    </w:p>
    <w:p w14:paraId="699DA301" w14:textId="77777777" w:rsidR="0005558A" w:rsidRDefault="00236C78">
      <w:pPr>
        <w:pStyle w:val="PRAGHeading2"/>
        <w:tabs>
          <w:tab w:val="clear" w:pos="567"/>
          <w:tab w:val="left" w:pos="426"/>
        </w:tabs>
        <w:ind w:hanging="567"/>
        <w:rPr>
          <w:snapToGrid/>
          <w:sz w:val="22"/>
          <w:lang w:val="en-GB"/>
        </w:rPr>
      </w:pPr>
      <w:r>
        <w:rPr>
          <w:rStyle w:val="Strong"/>
          <w:lang w:val="en-GB"/>
        </w:rPr>
        <w:t>Deadline for submission of applications</w:t>
      </w:r>
    </w:p>
    <w:p w14:paraId="5F8339D3" w14:textId="77777777" w:rsidR="0005558A" w:rsidRDefault="00236C78">
      <w:pPr>
        <w:pStyle w:val="PRAGHeading2"/>
        <w:numPr>
          <w:ilvl w:val="0"/>
          <w:numId w:val="0"/>
        </w:numPr>
        <w:ind w:left="426"/>
        <w:jc w:val="both"/>
        <w:rPr>
          <w:rStyle w:val="Emphasis"/>
          <w:i w:val="0"/>
          <w:lang w:val="en-IE"/>
        </w:rPr>
      </w:pPr>
      <w:r>
        <w:rPr>
          <w:rStyle w:val="Emphasis"/>
          <w:i w:val="0"/>
          <w:iCs/>
          <w:sz w:val="22"/>
          <w:szCs w:val="22"/>
          <w:lang w:val="en-GB"/>
        </w:rPr>
        <w:t>The candidate’s attention is drawn to the fact that there are two different systems for sending applications: one is by post or private mail service, the other is by hand delivery.</w:t>
      </w:r>
    </w:p>
    <w:p w14:paraId="484E3309" w14:textId="77777777" w:rsidR="0005558A" w:rsidRDefault="00236C78">
      <w:pPr>
        <w:pStyle w:val="PRAGHeading2"/>
        <w:numPr>
          <w:ilvl w:val="0"/>
          <w:numId w:val="0"/>
        </w:numPr>
        <w:ind w:left="426"/>
        <w:jc w:val="both"/>
        <w:rPr>
          <w:rStyle w:val="Emphasis"/>
          <w:i w:val="0"/>
          <w:iCs/>
          <w:sz w:val="22"/>
          <w:szCs w:val="22"/>
          <w:lang w:val="en-GB"/>
        </w:rPr>
      </w:pPr>
      <w:r>
        <w:rPr>
          <w:rStyle w:val="Emphasis"/>
          <w:i w:val="0"/>
          <w:iCs/>
          <w:sz w:val="22"/>
          <w:szCs w:val="22"/>
          <w:lang w:val="en-GB"/>
        </w:rPr>
        <w:t>In the first case, the application must be sent before the date and time limit for submission, as evidenced by the postmark or deposit slip</w:t>
      </w:r>
      <w:r>
        <w:rPr>
          <w:rStyle w:val="FootnoteReference"/>
          <w:iCs/>
          <w:sz w:val="22"/>
          <w:szCs w:val="22"/>
          <w:lang w:val="en-GB"/>
        </w:rPr>
        <w:footnoteReference w:id="1"/>
      </w:r>
      <w:r>
        <w:rPr>
          <w:rStyle w:val="Emphasis"/>
          <w:i w:val="0"/>
          <w:iCs/>
          <w:sz w:val="22"/>
          <w:szCs w:val="22"/>
          <w:lang w:val="en-GB"/>
        </w:rPr>
        <w:t>, but in the second case it is the acknowledgment of receipt given at the time of the delivery of the application that will serve as proof.</w:t>
      </w:r>
    </w:p>
    <w:p w14:paraId="7B08C2DF" w14:textId="421F144B" w:rsidR="0005558A" w:rsidRDefault="00236C78">
      <w:pPr>
        <w:pStyle w:val="PRAGHeading2"/>
        <w:numPr>
          <w:ilvl w:val="0"/>
          <w:numId w:val="0"/>
        </w:numPr>
        <w:ind w:left="426"/>
        <w:jc w:val="both"/>
        <w:rPr>
          <w:rStyle w:val="Emphasis"/>
          <w:b/>
          <w:i w:val="0"/>
          <w:iCs/>
          <w:sz w:val="22"/>
          <w:szCs w:val="22"/>
          <w:lang w:val="en-GB"/>
        </w:rPr>
      </w:pPr>
      <w:r w:rsidRPr="00236C78">
        <w:rPr>
          <w:rStyle w:val="Emphasis"/>
          <w:b/>
          <w:i w:val="0"/>
          <w:iCs/>
          <w:sz w:val="22"/>
          <w:szCs w:val="22"/>
          <w:highlight w:val="yellow"/>
          <w:lang w:val="en-GB"/>
        </w:rPr>
        <w:t xml:space="preserve">The deadline for submission of applications is </w:t>
      </w:r>
      <w:r w:rsidR="00DF1F13">
        <w:rPr>
          <w:rStyle w:val="Emphasis"/>
          <w:b/>
          <w:i w:val="0"/>
          <w:iCs/>
          <w:sz w:val="22"/>
          <w:szCs w:val="22"/>
          <w:highlight w:val="yellow"/>
          <w:lang w:val="en-GB"/>
        </w:rPr>
        <w:t>21</w:t>
      </w:r>
      <w:r w:rsidRPr="00236C78">
        <w:rPr>
          <w:rStyle w:val="Emphasis"/>
          <w:b/>
          <w:i w:val="0"/>
          <w:iCs/>
          <w:sz w:val="22"/>
          <w:szCs w:val="22"/>
          <w:highlight w:val="yellow"/>
          <w:lang w:val="en-GB"/>
        </w:rPr>
        <w:t>.0</w:t>
      </w:r>
      <w:r w:rsidR="00F5437E">
        <w:rPr>
          <w:rStyle w:val="Emphasis"/>
          <w:b/>
          <w:i w:val="0"/>
          <w:iCs/>
          <w:sz w:val="22"/>
          <w:szCs w:val="22"/>
          <w:highlight w:val="yellow"/>
          <w:lang w:val="en-GB"/>
        </w:rPr>
        <w:t>6</w:t>
      </w:r>
      <w:r w:rsidRPr="00236C78">
        <w:rPr>
          <w:rStyle w:val="Emphasis"/>
          <w:b/>
          <w:i w:val="0"/>
          <w:iCs/>
          <w:sz w:val="22"/>
          <w:szCs w:val="22"/>
          <w:highlight w:val="yellow"/>
          <w:lang w:val="en-GB"/>
        </w:rPr>
        <w:t>.2021 at 14:00h.</w:t>
      </w:r>
    </w:p>
    <w:p w14:paraId="1A28E6B7" w14:textId="77777777" w:rsidR="0005558A" w:rsidRDefault="00236C78">
      <w:pPr>
        <w:pStyle w:val="PRAGHeading2"/>
        <w:numPr>
          <w:ilvl w:val="0"/>
          <w:numId w:val="0"/>
        </w:numPr>
        <w:ind w:left="426"/>
        <w:jc w:val="both"/>
        <w:rPr>
          <w:rStyle w:val="Emphasis"/>
          <w:i w:val="0"/>
          <w:iCs/>
          <w:sz w:val="22"/>
          <w:szCs w:val="22"/>
          <w:lang w:val="en-GB"/>
        </w:rPr>
      </w:pPr>
      <w:r>
        <w:rPr>
          <w:rStyle w:val="Emphasis"/>
          <w:i w:val="0"/>
          <w:iCs/>
          <w:sz w:val="22"/>
          <w:szCs w:val="22"/>
          <w:lang w:val="en-GB"/>
        </w:rPr>
        <w:t>Any application sent to the contracting authority after this deadline will not be considered.</w:t>
      </w:r>
    </w:p>
    <w:p w14:paraId="2E27BE24" w14:textId="77777777" w:rsidR="0005558A" w:rsidRDefault="00236C78">
      <w:pPr>
        <w:pStyle w:val="PRAGHeading2"/>
        <w:numPr>
          <w:ilvl w:val="0"/>
          <w:numId w:val="0"/>
        </w:numPr>
        <w:ind w:left="426"/>
        <w:jc w:val="both"/>
        <w:rPr>
          <w:szCs w:val="24"/>
          <w:lang w:val="en-IE"/>
        </w:rPr>
      </w:pPr>
      <w:r>
        <w:rPr>
          <w:rStyle w:val="Emphasis"/>
          <w:i w:val="0"/>
          <w:iCs/>
          <w:sz w:val="22"/>
          <w:szCs w:val="22"/>
          <w:lang w:val="en-IE"/>
        </w:rPr>
        <w:t>The contracting authority may, for reasons of administrative efficiency, reject any application submitted on time but received, for any reason beyond the contracting authority's control, after the effective date of approval of the short-list report, if accepting applications that were submitted on time but arrived late would considerably delay the evaluation procedure or jeopardise</w:t>
      </w:r>
      <w:r>
        <w:rPr>
          <w:lang w:val="en-GB"/>
        </w:rPr>
        <w:t xml:space="preserve"> </w:t>
      </w:r>
      <w:r>
        <w:rPr>
          <w:sz w:val="22"/>
          <w:szCs w:val="22"/>
          <w:lang w:val="en-GB"/>
        </w:rPr>
        <w:t>decisions already taken and notified</w:t>
      </w:r>
      <w:r>
        <w:rPr>
          <w:lang w:val="en-GB"/>
        </w:rPr>
        <w:t>.</w:t>
      </w:r>
    </w:p>
    <w:p w14:paraId="45B645BE" w14:textId="77777777" w:rsidR="0005558A" w:rsidRDefault="0005558A">
      <w:pPr>
        <w:pStyle w:val="PRAGHeading2"/>
        <w:numPr>
          <w:ilvl w:val="0"/>
          <w:numId w:val="0"/>
        </w:numPr>
        <w:ind w:left="567"/>
        <w:rPr>
          <w:rStyle w:val="Strong"/>
          <w:sz w:val="22"/>
          <w:szCs w:val="22"/>
          <w:highlight w:val="lightGray"/>
          <w:lang w:val="en-GB"/>
        </w:rPr>
      </w:pPr>
    </w:p>
    <w:p w14:paraId="7C9E5B9E" w14:textId="77777777" w:rsidR="0005558A" w:rsidRDefault="00236C78">
      <w:pPr>
        <w:pStyle w:val="PRAGHeading2"/>
        <w:tabs>
          <w:tab w:val="clear" w:pos="567"/>
          <w:tab w:val="left" w:pos="426"/>
        </w:tabs>
        <w:ind w:hanging="567"/>
        <w:rPr>
          <w:rStyle w:val="Strong"/>
          <w:sz w:val="22"/>
          <w:szCs w:val="22"/>
          <w:lang w:val="en-GB"/>
        </w:rPr>
      </w:pPr>
      <w:r>
        <w:rPr>
          <w:rStyle w:val="Strong"/>
          <w:sz w:val="22"/>
          <w:szCs w:val="22"/>
          <w:lang w:val="en-GB"/>
        </w:rPr>
        <w:t>Clarifications on the contract notice</w:t>
      </w:r>
    </w:p>
    <w:p w14:paraId="622DB52E" w14:textId="39983ED0" w:rsidR="0005558A" w:rsidRDefault="00236C78">
      <w:pPr>
        <w:pStyle w:val="PRAGHeading2"/>
        <w:numPr>
          <w:ilvl w:val="0"/>
          <w:numId w:val="0"/>
        </w:numPr>
        <w:ind w:left="426"/>
        <w:rPr>
          <w:sz w:val="22"/>
          <w:szCs w:val="22"/>
          <w:lang w:val="en-GB"/>
        </w:rPr>
      </w:pPr>
      <w:r>
        <w:rPr>
          <w:sz w:val="22"/>
          <w:szCs w:val="22"/>
          <w:lang w:val="en-GB"/>
        </w:rPr>
        <w:t xml:space="preserve">Clarifications may be sought from the contracting authority at the following email address </w:t>
      </w:r>
      <w:hyperlink r:id="rId9" w:history="1">
        <w:r>
          <w:rPr>
            <w:rStyle w:val="Hyperlink"/>
            <w:sz w:val="22"/>
            <w:szCs w:val="22"/>
            <w:lang w:val="en-GB"/>
          </w:rPr>
          <w:t>greeninteremobility@gmail.com</w:t>
        </w:r>
      </w:hyperlink>
      <w:r>
        <w:rPr>
          <w:sz w:val="22"/>
          <w:szCs w:val="22"/>
          <w:lang w:val="en-GB"/>
        </w:rPr>
        <w:t xml:space="preserve"> </w:t>
      </w:r>
      <w:r w:rsidR="00DF1F13">
        <w:rPr>
          <w:sz w:val="22"/>
          <w:szCs w:val="22"/>
          <w:highlight w:val="yellow"/>
          <w:lang w:val="en-GB"/>
        </w:rPr>
        <w:t>31</w:t>
      </w:r>
      <w:r w:rsidRPr="00236C78">
        <w:rPr>
          <w:sz w:val="22"/>
          <w:szCs w:val="22"/>
          <w:highlight w:val="yellow"/>
          <w:lang w:val="en-GB"/>
        </w:rPr>
        <w:t>.0</w:t>
      </w:r>
      <w:r w:rsidR="00F5437E">
        <w:rPr>
          <w:sz w:val="22"/>
          <w:szCs w:val="22"/>
          <w:highlight w:val="yellow"/>
          <w:lang w:val="en-GB"/>
        </w:rPr>
        <w:t>5</w:t>
      </w:r>
      <w:r w:rsidRPr="00236C78">
        <w:rPr>
          <w:sz w:val="22"/>
          <w:szCs w:val="22"/>
          <w:highlight w:val="yellow"/>
          <w:lang w:val="en-GB"/>
        </w:rPr>
        <w:t>.2021 at 14:00h.</w:t>
      </w:r>
    </w:p>
    <w:p w14:paraId="0E8C9E6C" w14:textId="1E270CF9" w:rsidR="0005558A" w:rsidRDefault="00236C78">
      <w:pPr>
        <w:pStyle w:val="PRAGHeading2"/>
        <w:numPr>
          <w:ilvl w:val="0"/>
          <w:numId w:val="0"/>
        </w:numPr>
        <w:ind w:left="426"/>
        <w:jc w:val="both"/>
        <w:rPr>
          <w:sz w:val="22"/>
          <w:szCs w:val="22"/>
          <w:lang w:val="en-GB"/>
        </w:rPr>
      </w:pPr>
      <w:r>
        <w:rPr>
          <w:sz w:val="22"/>
          <w:szCs w:val="22"/>
          <w:lang w:val="en-GB"/>
        </w:rPr>
        <w:t>Clarifications will be published on</w:t>
      </w:r>
      <w:r>
        <w:rPr>
          <w:snapToGrid/>
          <w:lang w:val="en-IE"/>
        </w:rPr>
        <w:t xml:space="preserve"> </w:t>
      </w:r>
      <w:r>
        <w:rPr>
          <w:snapToGrid/>
          <w:lang w:val="en-US"/>
        </w:rPr>
        <w:t xml:space="preserve">the web portal of Municipality Bitola – Section IPA Projects – Green Inter e Mobility </w:t>
      </w:r>
      <w:hyperlink r:id="rId10" w:history="1">
        <w:r>
          <w:rPr>
            <w:rStyle w:val="Hyperlink"/>
            <w:snapToGrid/>
            <w:lang w:val="en-US"/>
          </w:rPr>
          <w:t>https://www.bitola.gov.mk/green-inter-e-mobility/</w:t>
        </w:r>
      </w:hyperlink>
      <w:r>
        <w:rPr>
          <w:snapToGrid/>
          <w:lang w:val="en-US"/>
        </w:rPr>
        <w:t xml:space="preserve"> at</w:t>
      </w:r>
      <w:r>
        <w:rPr>
          <w:sz w:val="22"/>
          <w:szCs w:val="22"/>
          <w:lang w:val="en-GB"/>
        </w:rPr>
        <w:t xml:space="preserve"> the </w:t>
      </w:r>
      <w:r w:rsidRPr="00236C78">
        <w:rPr>
          <w:sz w:val="22"/>
          <w:szCs w:val="22"/>
          <w:highlight w:val="yellow"/>
          <w:lang w:val="en-GB"/>
        </w:rPr>
        <w:t xml:space="preserve">latest </w:t>
      </w:r>
      <w:r w:rsidR="00DF1F13">
        <w:rPr>
          <w:sz w:val="22"/>
          <w:szCs w:val="22"/>
          <w:highlight w:val="yellow"/>
          <w:lang w:val="en-GB"/>
        </w:rPr>
        <w:t>10</w:t>
      </w:r>
      <w:r w:rsidR="001577B6">
        <w:rPr>
          <w:sz w:val="22"/>
          <w:szCs w:val="22"/>
          <w:highlight w:val="yellow"/>
          <w:lang w:val="en-GB"/>
        </w:rPr>
        <w:t>.06</w:t>
      </w:r>
      <w:r w:rsidRPr="00236C78">
        <w:rPr>
          <w:sz w:val="22"/>
          <w:szCs w:val="22"/>
          <w:highlight w:val="yellow"/>
          <w:lang w:val="en-GB"/>
        </w:rPr>
        <w:t>.2021 at 14:00h.</w:t>
      </w:r>
    </w:p>
    <w:p w14:paraId="43A6609D" w14:textId="77777777" w:rsidR="0005558A" w:rsidRDefault="00236C78">
      <w:pPr>
        <w:pStyle w:val="PRAGHeading2"/>
        <w:ind w:left="426" w:hanging="426"/>
        <w:jc w:val="both"/>
        <w:rPr>
          <w:rStyle w:val="Strong"/>
          <w:sz w:val="22"/>
          <w:szCs w:val="22"/>
          <w:lang w:val="en-GB"/>
        </w:rPr>
      </w:pPr>
      <w:r>
        <w:rPr>
          <w:rStyle w:val="Strong"/>
          <w:sz w:val="22"/>
          <w:szCs w:val="22"/>
          <w:lang w:val="en-GB"/>
        </w:rPr>
        <w:t>Alteration or withdrawal of applications</w:t>
      </w:r>
    </w:p>
    <w:p w14:paraId="60D53688" w14:textId="77777777" w:rsidR="0005558A" w:rsidRDefault="00236C78">
      <w:pPr>
        <w:ind w:left="426"/>
        <w:jc w:val="both"/>
        <w:rPr>
          <w:sz w:val="22"/>
          <w:szCs w:val="22"/>
          <w:lang w:val="en-GB"/>
        </w:rPr>
      </w:pPr>
      <w:r>
        <w:rPr>
          <w:sz w:val="22"/>
          <w:szCs w:val="22"/>
          <w:lang w:val="en-GB"/>
        </w:rPr>
        <w:t xml:space="preserve">Applicants may alter or withdraw their applications by written notification prior to the deadline for submission of applications. No applications may be altered after this deadline. </w:t>
      </w:r>
    </w:p>
    <w:p w14:paraId="6E99F4E4" w14:textId="77777777" w:rsidR="0005558A" w:rsidRDefault="00236C78">
      <w:pPr>
        <w:ind w:left="426"/>
        <w:jc w:val="both"/>
        <w:rPr>
          <w:sz w:val="22"/>
          <w:szCs w:val="22"/>
          <w:lang w:val="en-GB"/>
        </w:rPr>
      </w:pPr>
      <w:r>
        <w:rPr>
          <w:sz w:val="22"/>
          <w:szCs w:val="22"/>
          <w:lang w:val="en-GB"/>
        </w:rPr>
        <w:lastRenderedPageBreak/>
        <w:t xml:space="preserve">Any such notification of alteration or withdrawal shall be prepared and submitted in accordance with precedent item. The outer envelope (and the relevant inner envelope if used) must be marked ‘Alteration’ or ‘Withdrawal’ as appropriate. </w:t>
      </w:r>
    </w:p>
    <w:p w14:paraId="2354C7D7" w14:textId="77777777" w:rsidR="0005558A" w:rsidRDefault="00236C78">
      <w:pPr>
        <w:pStyle w:val="PRAGHeading2"/>
        <w:ind w:left="426" w:hanging="426"/>
        <w:rPr>
          <w:rStyle w:val="Strong"/>
          <w:sz w:val="22"/>
          <w:szCs w:val="22"/>
          <w:lang w:val="en-GB"/>
        </w:rPr>
      </w:pPr>
      <w:r>
        <w:rPr>
          <w:rStyle w:val="Strong"/>
          <w:sz w:val="22"/>
          <w:szCs w:val="22"/>
          <w:lang w:val="en-GB"/>
        </w:rPr>
        <w:t>Language of the procedure</w:t>
      </w:r>
    </w:p>
    <w:p w14:paraId="06834412" w14:textId="77777777" w:rsidR="0005558A" w:rsidRDefault="00236C78">
      <w:pPr>
        <w:ind w:left="426"/>
        <w:jc w:val="both"/>
        <w:rPr>
          <w:sz w:val="22"/>
          <w:szCs w:val="22"/>
          <w:lang w:val="en-GB"/>
        </w:rPr>
      </w:pPr>
      <w:r>
        <w:rPr>
          <w:sz w:val="22"/>
          <w:szCs w:val="22"/>
          <w:lang w:val="en-GB"/>
        </w:rPr>
        <w:t xml:space="preserve">All written communications for this tender procedure and contract must be in English. </w:t>
      </w:r>
    </w:p>
    <w:p w14:paraId="74D72C85" w14:textId="77777777" w:rsidR="0005558A" w:rsidRDefault="00236C78">
      <w:pPr>
        <w:ind w:left="426" w:hanging="426"/>
        <w:rPr>
          <w:sz w:val="22"/>
          <w:szCs w:val="22"/>
          <w:vertAlign w:val="superscript"/>
          <w:lang w:val="en-GB"/>
        </w:rPr>
      </w:pPr>
      <w:r>
        <w:rPr>
          <w:b/>
          <w:sz w:val="22"/>
          <w:szCs w:val="22"/>
          <w:lang w:val="en-GB"/>
        </w:rPr>
        <w:t>28.</w:t>
      </w:r>
      <w:r>
        <w:rPr>
          <w:b/>
          <w:sz w:val="22"/>
          <w:szCs w:val="22"/>
          <w:lang w:val="en-GB"/>
        </w:rPr>
        <w:tab/>
        <w:t>Legal basis</w:t>
      </w:r>
    </w:p>
    <w:p w14:paraId="7DD3DD2E" w14:textId="77777777" w:rsidR="0005558A" w:rsidRDefault="00236C78">
      <w:pPr>
        <w:ind w:left="426"/>
        <w:jc w:val="both"/>
        <w:rPr>
          <w:sz w:val="22"/>
          <w:szCs w:val="22"/>
          <w:vertAlign w:val="superscript"/>
          <w:lang w:val="en-GB"/>
        </w:rPr>
      </w:pPr>
      <w:r>
        <w:rPr>
          <w:sz w:val="22"/>
          <w:szCs w:val="22"/>
          <w:lang w:val="en-GB"/>
        </w:rPr>
        <w:t>Regulation</w:t>
      </w:r>
      <w:r>
        <w:rPr>
          <w:b/>
          <w:bCs/>
          <w:sz w:val="22"/>
          <w:szCs w:val="22"/>
          <w:lang w:val="en-GB"/>
        </w:rPr>
        <w:t xml:space="preserve"> </w:t>
      </w:r>
      <w:r>
        <w:rPr>
          <w:sz w:val="22"/>
          <w:szCs w:val="22"/>
          <w:lang w:val="en-GB"/>
        </w:rPr>
        <w:t>(EU) No </w:t>
      </w:r>
      <w:r>
        <w:rPr>
          <w:sz w:val="22"/>
          <w:szCs w:val="22"/>
          <w:lang w:val="en-GB" w:eastAsia="ja-JP"/>
        </w:rPr>
        <w:t>236/2014 of the European Parliament and of the Council of 11 March 2014 laying down common rules and procedures for the implementation of the Union's instruments for financing external action and IPA II Programme.</w:t>
      </w:r>
    </w:p>
    <w:p w14:paraId="43D91915" w14:textId="77777777" w:rsidR="0005558A" w:rsidRDefault="00236C78">
      <w:pPr>
        <w:ind w:left="426" w:hanging="426"/>
        <w:rPr>
          <w:b/>
          <w:sz w:val="22"/>
          <w:szCs w:val="22"/>
          <w:lang w:val="en-GB"/>
        </w:rPr>
      </w:pPr>
      <w:r>
        <w:rPr>
          <w:b/>
          <w:sz w:val="22"/>
          <w:szCs w:val="22"/>
          <w:lang w:val="en-GB"/>
        </w:rPr>
        <w:t>29.</w:t>
      </w:r>
      <w:r>
        <w:rPr>
          <w:b/>
          <w:sz w:val="22"/>
          <w:szCs w:val="22"/>
          <w:lang w:val="en-GB"/>
        </w:rPr>
        <w:tab/>
        <w:t>Additional information</w:t>
      </w:r>
    </w:p>
    <w:p w14:paraId="7AA41FB4" w14:textId="77777777" w:rsidR="0005558A" w:rsidRDefault="00236C78">
      <w:pPr>
        <w:widowControl/>
        <w:snapToGrid w:val="0"/>
        <w:spacing w:after="0"/>
        <w:ind w:left="426" w:right="360"/>
        <w:jc w:val="both"/>
        <w:rPr>
          <w:i/>
          <w:lang w:val="en-GB"/>
        </w:rPr>
      </w:pPr>
      <w:r>
        <w:rPr>
          <w:sz w:val="22"/>
          <w:szCs w:val="22"/>
          <w:lang w:val="en-GB"/>
        </w:rPr>
        <w:t>Financial data to be provided by the candidate in the standard application form or the tenderer in the tender form must be expressed in EUR.</w:t>
      </w:r>
    </w:p>
    <w:sectPr w:rsidR="0005558A">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21E866" w14:textId="77777777" w:rsidR="0005558A" w:rsidRDefault="00236C78">
      <w:r>
        <w:separator/>
      </w:r>
    </w:p>
  </w:endnote>
  <w:endnote w:type="continuationSeparator" w:id="0">
    <w:p w14:paraId="328C5C38" w14:textId="77777777" w:rsidR="0005558A" w:rsidRDefault="00236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inion Pro">
    <w:altName w:val="Cambria"/>
    <w:charset w:val="00"/>
    <w:family w:val="roman"/>
    <w:pitch w:val="default"/>
    <w:sig w:usb0="00000000" w:usb1="00000000"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A694D" w14:textId="77777777" w:rsidR="0005558A" w:rsidRDefault="00236C78">
    <w:pPr>
      <w:pStyle w:val="Footer"/>
      <w:jc w:val="center"/>
      <w:rPr>
        <w:b/>
        <w:sz w:val="18"/>
        <w:lang w:val="en-GB"/>
      </w:rPr>
    </w:pPr>
    <w:r>
      <w:rPr>
        <w:rFonts w:cs="Arial"/>
        <w:sz w:val="16"/>
        <w:szCs w:val="16"/>
        <w:lang w:val="mk-MK"/>
      </w:rPr>
      <w:t xml:space="preserve">The INTERREG IPA CBC Programme is co-funded by the European Union </w:t>
    </w:r>
    <w:r>
      <w:rPr>
        <w:rFonts w:cs="Arial"/>
        <w:sz w:val="16"/>
        <w:szCs w:val="16"/>
        <w:lang w:val="mk-MK"/>
      </w:rPr>
      <w:br/>
      <w:t>and the National funds of the participating countries</w:t>
    </w:r>
    <w:r>
      <w:rPr>
        <w:rFonts w:cs="Arial"/>
        <w:sz w:val="16"/>
        <w:szCs w:val="16"/>
        <w:lang w:val="mk-MK"/>
      </w:rPr>
      <w:br/>
    </w:r>
    <w:r>
      <w:rPr>
        <w:caps/>
        <w:noProof/>
        <w:snapToGrid/>
        <w:sz w:val="18"/>
        <w:szCs w:val="18"/>
      </w:rPr>
      <w:drawing>
        <wp:inline distT="0" distB="0" distL="0" distR="0" wp14:anchorId="28284B86" wp14:editId="2CE6285A">
          <wp:extent cx="1009650" cy="247650"/>
          <wp:effectExtent l="0" t="0" r="0" b="0"/>
          <wp:docPr id="1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009650" cy="247650"/>
                  </a:xfrm>
                  <a:prstGeom prst="rect">
                    <a:avLst/>
                  </a:prstGeom>
                  <a:noFill/>
                  <a:ln>
                    <a:noFill/>
                  </a:ln>
                </pic:spPr>
              </pic:pic>
            </a:graphicData>
          </a:graphic>
        </wp:inline>
      </w:drawing>
    </w:r>
  </w:p>
  <w:p w14:paraId="2F768CC9" w14:textId="77777777" w:rsidR="0005558A" w:rsidRDefault="00236C78">
    <w:pPr>
      <w:pStyle w:val="Footer"/>
      <w:spacing w:before="120"/>
      <w:rPr>
        <w:b/>
        <w:sz w:val="18"/>
        <w:szCs w:val="18"/>
        <w:lang w:val="en-GB"/>
      </w:rPr>
    </w:pPr>
    <w:r>
      <w:rPr>
        <w:b/>
        <w:sz w:val="18"/>
        <w:szCs w:val="18"/>
        <w:lang w:val="en-GB"/>
      </w:rPr>
      <w:t>August</w:t>
    </w:r>
    <w:r>
      <w:rPr>
        <w:b/>
        <w:sz w:val="18"/>
        <w:szCs w:val="18"/>
      </w:rPr>
      <w:t xml:space="preserve"> 2020</w:t>
    </w:r>
  </w:p>
  <w:p w14:paraId="7203D561" w14:textId="1CB85C89" w:rsidR="0005558A" w:rsidRDefault="00236C78">
    <w:pPr>
      <w:pStyle w:val="Footer"/>
      <w:rPr>
        <w:sz w:val="18"/>
        <w:szCs w:val="18"/>
        <w:lang w:val="en-GB"/>
      </w:rPr>
    </w:pPr>
    <w:r>
      <w:rPr>
        <w:sz w:val="18"/>
        <w:szCs w:val="18"/>
        <w:lang w:val="en-GB"/>
      </w:rPr>
      <w:fldChar w:fldCharType="begin"/>
    </w:r>
    <w:r>
      <w:rPr>
        <w:sz w:val="18"/>
        <w:szCs w:val="18"/>
        <w:lang w:val="en-GB"/>
      </w:rPr>
      <w:instrText xml:space="preserve"> FILENAME   \* MERGEFORMAT </w:instrText>
    </w:r>
    <w:r>
      <w:rPr>
        <w:sz w:val="18"/>
        <w:szCs w:val="18"/>
        <w:lang w:val="en-GB"/>
      </w:rPr>
      <w:fldChar w:fldCharType="separate"/>
    </w:r>
    <w:r w:rsidR="0096198F">
      <w:rPr>
        <w:noProof/>
        <w:sz w:val="18"/>
        <w:szCs w:val="18"/>
        <w:lang w:val="en-GB"/>
      </w:rPr>
      <w:t>Contract notice e vehicles</w:t>
    </w:r>
    <w:r>
      <w:rPr>
        <w:sz w:val="18"/>
        <w:szCs w:val="18"/>
        <w:lang w:val="en-GB"/>
      </w:rPr>
      <w:fldChar w:fldCharType="end"/>
    </w:r>
  </w:p>
  <w:p w14:paraId="181DECB1" w14:textId="77777777" w:rsidR="0005558A" w:rsidRDefault="00236C78">
    <w:pPr>
      <w:pStyle w:val="Footer"/>
      <w:rPr>
        <w:sz w:val="18"/>
        <w:szCs w:val="18"/>
        <w:lang w:val="en-GB"/>
      </w:rPr>
    </w:pPr>
    <w:r>
      <w:rPr>
        <w:sz w:val="18"/>
        <w:szCs w:val="18"/>
        <w:lang w:val="en-GB"/>
      </w:rPr>
      <w:tab/>
    </w:r>
    <w:r>
      <w:rPr>
        <w:sz w:val="18"/>
        <w:szCs w:val="18"/>
        <w:lang w:val="en-GB"/>
      </w:rPr>
      <w:tab/>
      <w:t xml:space="preserve">Page </w:t>
    </w:r>
    <w:r>
      <w:rPr>
        <w:sz w:val="18"/>
        <w:szCs w:val="18"/>
        <w:lang w:val="en-GB"/>
      </w:rPr>
      <w:fldChar w:fldCharType="begin"/>
    </w:r>
    <w:r>
      <w:rPr>
        <w:sz w:val="18"/>
        <w:szCs w:val="18"/>
        <w:lang w:val="en-GB"/>
      </w:rPr>
      <w:instrText xml:space="preserve"> PAGE   \* MERGEFORMAT </w:instrText>
    </w:r>
    <w:r>
      <w:rPr>
        <w:sz w:val="18"/>
        <w:szCs w:val="18"/>
        <w:lang w:val="en-GB"/>
      </w:rPr>
      <w:fldChar w:fldCharType="separate"/>
    </w:r>
    <w:r>
      <w:rPr>
        <w:sz w:val="18"/>
        <w:szCs w:val="18"/>
        <w:lang w:val="en-GB"/>
      </w:rPr>
      <w:t>12</w:t>
    </w:r>
    <w:r>
      <w:rPr>
        <w:sz w:val="18"/>
        <w:szCs w:val="18"/>
        <w:lang w:val="en-GB"/>
      </w:rPr>
      <w:fldChar w:fldCharType="end"/>
    </w:r>
    <w:r>
      <w:rPr>
        <w:sz w:val="18"/>
        <w:szCs w:val="18"/>
        <w:lang w:val="en-GB"/>
      </w:rPr>
      <w:t xml:space="preserve"> of </w:t>
    </w:r>
    <w:r>
      <w:rPr>
        <w:sz w:val="18"/>
        <w:szCs w:val="18"/>
        <w:lang w:val="en-GB"/>
      </w:rPr>
      <w:fldChar w:fldCharType="begin"/>
    </w:r>
    <w:r>
      <w:rPr>
        <w:sz w:val="18"/>
        <w:szCs w:val="18"/>
        <w:lang w:val="en-GB"/>
      </w:rPr>
      <w:instrText xml:space="preserve"> NUMPAGES   \* MERGEFORMAT </w:instrText>
    </w:r>
    <w:r>
      <w:rPr>
        <w:sz w:val="18"/>
        <w:szCs w:val="18"/>
        <w:lang w:val="en-GB"/>
      </w:rPr>
      <w:fldChar w:fldCharType="separate"/>
    </w:r>
    <w:r>
      <w:rPr>
        <w:sz w:val="18"/>
        <w:szCs w:val="18"/>
        <w:lang w:val="en-GB"/>
      </w:rPr>
      <w:t>13</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BFBCF" w14:textId="77777777" w:rsidR="0005558A" w:rsidRDefault="00236C78">
      <w:pPr>
        <w:spacing w:before="0" w:after="0"/>
      </w:pPr>
      <w:r>
        <w:separator/>
      </w:r>
    </w:p>
  </w:footnote>
  <w:footnote w:type="continuationSeparator" w:id="0">
    <w:p w14:paraId="017ED620" w14:textId="77777777" w:rsidR="0005558A" w:rsidRDefault="00236C78">
      <w:pPr>
        <w:spacing w:before="0" w:after="0"/>
      </w:pPr>
      <w:r>
        <w:continuationSeparator/>
      </w:r>
    </w:p>
  </w:footnote>
  <w:footnote w:id="1">
    <w:p w14:paraId="14A6C1EA" w14:textId="77777777" w:rsidR="0005558A" w:rsidRDefault="00236C78">
      <w:pPr>
        <w:pStyle w:val="FootnoteText"/>
      </w:pPr>
      <w:r>
        <w:rPr>
          <w:rStyle w:val="FootnoteReference"/>
        </w:rPr>
        <w:footnoteRef/>
      </w:r>
      <w: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E9B97" w14:textId="77777777" w:rsidR="0005558A" w:rsidRDefault="00236C78">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val="en-GB" w:eastAsia="en-GB"/>
      </w:rPr>
    </w:pPr>
    <w:r>
      <w:rPr>
        <w:b/>
        <w:snapToGrid/>
        <w:sz w:val="32"/>
        <w:szCs w:val="32"/>
        <w:lang w:val="en-GB" w:eastAsia="en-GB"/>
      </w:rPr>
      <w:t xml:space="preserve">  </w:t>
    </w:r>
    <w:r>
      <w:rPr>
        <w:b/>
        <w:noProof/>
        <w:snapToGrid/>
        <w:sz w:val="32"/>
        <w:szCs w:val="32"/>
      </w:rPr>
      <w:drawing>
        <wp:inline distT="0" distB="0" distL="0" distR="0" wp14:anchorId="0645E7C9" wp14:editId="42D9B939">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3486150" cy="933450"/>
                  </a:xfrm>
                  <a:prstGeom prst="rect">
                    <a:avLst/>
                  </a:prstGeom>
                  <a:noFill/>
                  <a:ln>
                    <a:noFill/>
                  </a:ln>
                </pic:spPr>
              </pic:pic>
            </a:graphicData>
          </a:graphic>
        </wp:inline>
      </w:drawing>
    </w:r>
    <w:r>
      <w:rPr>
        <w:b/>
        <w:snapToGrid/>
        <w:sz w:val="32"/>
        <w:szCs w:val="32"/>
        <w:lang w:val="en-GB" w:eastAsia="en-GB"/>
      </w:rPr>
      <w:t xml:space="preserve"> </w:t>
    </w:r>
    <w:r>
      <w:rPr>
        <w:b/>
        <w:snapToGrid/>
        <w:sz w:val="32"/>
        <w:szCs w:val="32"/>
      </w:rPr>
      <w:t xml:space="preserve">  </w:t>
    </w:r>
    <w:r>
      <w:rPr>
        <w:b/>
        <w:noProof/>
        <w:snapToGrid/>
        <w:sz w:val="32"/>
        <w:szCs w:val="32"/>
      </w:rPr>
      <w:drawing>
        <wp:inline distT="0" distB="0" distL="0" distR="0" wp14:anchorId="35A3AA2E" wp14:editId="62C484D2">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a:xfrm>
                    <a:off x="0" y="0"/>
                    <a:ext cx="1809750" cy="933450"/>
                  </a:xfrm>
                  <a:prstGeom prst="rect">
                    <a:avLst/>
                  </a:prstGeom>
                  <a:noFill/>
                  <a:ln>
                    <a:noFill/>
                  </a:ln>
                </pic:spPr>
              </pic:pic>
            </a:graphicData>
          </a:graphic>
        </wp:inline>
      </w:drawing>
    </w:r>
    <w:r>
      <w:rPr>
        <w:b/>
        <w:snapToGrid/>
        <w:sz w:val="32"/>
        <w:szCs w:val="32"/>
        <w:lang w:val="en-GB" w:eastAsia="en-GB"/>
      </w:rPr>
      <w:t xml:space="preserve"> </w:t>
    </w:r>
    <w:r>
      <w:rPr>
        <w:b/>
        <w:snapToGrid/>
        <w:sz w:val="32"/>
        <w:lang w:val="en-GB"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61F9D"/>
    <w:multiLevelType w:val="multilevel"/>
    <w:tmpl w:val="0B561F9D"/>
    <w:lvl w:ilvl="0">
      <w:start w:val="1"/>
      <w:numFmt w:val="decimal"/>
      <w:pStyle w:val="PRAGHeading2"/>
      <w:lvlText w:val="%1."/>
      <w:lvlJc w:val="left"/>
      <w:pPr>
        <w:tabs>
          <w:tab w:val="left" w:pos="567"/>
        </w:tabs>
        <w:ind w:left="567" w:firstLine="0"/>
      </w:pPr>
      <w:rPr>
        <w:rFonts w:ascii="Times New Roman" w:hAnsi="Times New Roman" w:hint="default"/>
        <w:b/>
        <w:i w:val="0"/>
        <w:sz w:val="22"/>
        <w:szCs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 w15:restartNumberingAfterBreak="0">
    <w:nsid w:val="0CA70A47"/>
    <w:multiLevelType w:val="singleLevel"/>
    <w:tmpl w:val="0CA70A47"/>
    <w:lvl w:ilvl="0">
      <w:start w:val="1"/>
      <w:numFmt w:val="bullet"/>
      <w:lvlText w:val=""/>
      <w:lvlJc w:val="left"/>
      <w:pPr>
        <w:ind w:left="720" w:hanging="360"/>
      </w:pPr>
      <w:rPr>
        <w:rFonts w:ascii="Symbol" w:hAnsi="Symbol" w:hint="default"/>
      </w:rPr>
    </w:lvl>
  </w:abstractNum>
  <w:abstractNum w:abstractNumId="2" w15:restartNumberingAfterBreak="0">
    <w:nsid w:val="35DA37BB"/>
    <w:multiLevelType w:val="multilevel"/>
    <w:tmpl w:val="35DA37BB"/>
    <w:lvl w:ilvl="0">
      <w:start w:val="11"/>
      <w:numFmt w:val="bullet"/>
      <w:lvlText w:val="-"/>
      <w:lvlJc w:val="left"/>
      <w:pPr>
        <w:ind w:left="1069" w:hanging="360"/>
      </w:pPr>
      <w:rPr>
        <w:rFonts w:ascii="Times New Roman" w:eastAsia="Times New Roman" w:hAnsi="Times New Roman" w:cs="Times New Roman"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3" w15:restartNumberingAfterBreak="0">
    <w:nsid w:val="3EE926A8"/>
    <w:multiLevelType w:val="multilevel"/>
    <w:tmpl w:val="3EE926A8"/>
    <w:lvl w:ilvl="0">
      <w:start w:val="1"/>
      <w:numFmt w:val="decimal"/>
      <w:lvlText w:val="%1)"/>
      <w:lvlJc w:val="left"/>
      <w:pPr>
        <w:ind w:left="840" w:hanging="360"/>
      </w:pPr>
      <w:rPr>
        <w:rFonts w:hint="default"/>
        <w:b/>
        <w:u w:val="single"/>
      </w:r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1895"/>
    <w:rsid w:val="00004AC5"/>
    <w:rsid w:val="00005D6E"/>
    <w:rsid w:val="00017B82"/>
    <w:rsid w:val="00051841"/>
    <w:rsid w:val="0005558A"/>
    <w:rsid w:val="000557AC"/>
    <w:rsid w:val="00057B45"/>
    <w:rsid w:val="0006275F"/>
    <w:rsid w:val="00082B07"/>
    <w:rsid w:val="00087791"/>
    <w:rsid w:val="00095FD2"/>
    <w:rsid w:val="000974B6"/>
    <w:rsid w:val="000977C7"/>
    <w:rsid w:val="0009798E"/>
    <w:rsid w:val="000A2341"/>
    <w:rsid w:val="000A3A2E"/>
    <w:rsid w:val="000A4362"/>
    <w:rsid w:val="000D5A38"/>
    <w:rsid w:val="000D6E4D"/>
    <w:rsid w:val="000E32AA"/>
    <w:rsid w:val="000F3E10"/>
    <w:rsid w:val="00100AF9"/>
    <w:rsid w:val="00101025"/>
    <w:rsid w:val="00102D0D"/>
    <w:rsid w:val="00104CCC"/>
    <w:rsid w:val="00116ED7"/>
    <w:rsid w:val="00132014"/>
    <w:rsid w:val="00147087"/>
    <w:rsid w:val="001471CB"/>
    <w:rsid w:val="001577B6"/>
    <w:rsid w:val="00170460"/>
    <w:rsid w:val="00177233"/>
    <w:rsid w:val="001809A4"/>
    <w:rsid w:val="00182933"/>
    <w:rsid w:val="001916FC"/>
    <w:rsid w:val="00195EB7"/>
    <w:rsid w:val="001B047D"/>
    <w:rsid w:val="001B078F"/>
    <w:rsid w:val="001B1D0C"/>
    <w:rsid w:val="001D5AEF"/>
    <w:rsid w:val="001D7732"/>
    <w:rsid w:val="001E13D9"/>
    <w:rsid w:val="001F11E6"/>
    <w:rsid w:val="00202A86"/>
    <w:rsid w:val="00221638"/>
    <w:rsid w:val="002312BC"/>
    <w:rsid w:val="0023463C"/>
    <w:rsid w:val="00236C78"/>
    <w:rsid w:val="0024343C"/>
    <w:rsid w:val="00243858"/>
    <w:rsid w:val="00246FE9"/>
    <w:rsid w:val="0025703B"/>
    <w:rsid w:val="00260CBF"/>
    <w:rsid w:val="0028659D"/>
    <w:rsid w:val="00297DA2"/>
    <w:rsid w:val="002A54FD"/>
    <w:rsid w:val="002C7CF4"/>
    <w:rsid w:val="002D3C7A"/>
    <w:rsid w:val="002F7735"/>
    <w:rsid w:val="00302A1B"/>
    <w:rsid w:val="003076CD"/>
    <w:rsid w:val="00312005"/>
    <w:rsid w:val="00315CF6"/>
    <w:rsid w:val="00322A8F"/>
    <w:rsid w:val="00327723"/>
    <w:rsid w:val="00330C3A"/>
    <w:rsid w:val="003356E3"/>
    <w:rsid w:val="00337E2A"/>
    <w:rsid w:val="003447D9"/>
    <w:rsid w:val="003474FC"/>
    <w:rsid w:val="0036237D"/>
    <w:rsid w:val="003628A1"/>
    <w:rsid w:val="003907E7"/>
    <w:rsid w:val="00393CB9"/>
    <w:rsid w:val="003A1326"/>
    <w:rsid w:val="003A523F"/>
    <w:rsid w:val="003A59F6"/>
    <w:rsid w:val="003B2BB4"/>
    <w:rsid w:val="003C15AF"/>
    <w:rsid w:val="003D6268"/>
    <w:rsid w:val="003F6638"/>
    <w:rsid w:val="00401FE1"/>
    <w:rsid w:val="004145AF"/>
    <w:rsid w:val="00423B5E"/>
    <w:rsid w:val="00427637"/>
    <w:rsid w:val="00440AC2"/>
    <w:rsid w:val="00453B5B"/>
    <w:rsid w:val="00461079"/>
    <w:rsid w:val="00465A93"/>
    <w:rsid w:val="00473B36"/>
    <w:rsid w:val="004759A5"/>
    <w:rsid w:val="0048352B"/>
    <w:rsid w:val="00491AFD"/>
    <w:rsid w:val="00493E32"/>
    <w:rsid w:val="004A62F5"/>
    <w:rsid w:val="004C05B2"/>
    <w:rsid w:val="004C39EE"/>
    <w:rsid w:val="004E1551"/>
    <w:rsid w:val="004F1C90"/>
    <w:rsid w:val="004F27F5"/>
    <w:rsid w:val="004F48AA"/>
    <w:rsid w:val="004F7108"/>
    <w:rsid w:val="00515369"/>
    <w:rsid w:val="0051739B"/>
    <w:rsid w:val="005365BF"/>
    <w:rsid w:val="005407B9"/>
    <w:rsid w:val="00547FDA"/>
    <w:rsid w:val="005526AA"/>
    <w:rsid w:val="005534B9"/>
    <w:rsid w:val="005663CA"/>
    <w:rsid w:val="00567D11"/>
    <w:rsid w:val="00574013"/>
    <w:rsid w:val="00580EED"/>
    <w:rsid w:val="00590680"/>
    <w:rsid w:val="005A0A93"/>
    <w:rsid w:val="005A7FB5"/>
    <w:rsid w:val="005B6500"/>
    <w:rsid w:val="005B674F"/>
    <w:rsid w:val="005D4C9B"/>
    <w:rsid w:val="005D4F73"/>
    <w:rsid w:val="005E7662"/>
    <w:rsid w:val="005F443E"/>
    <w:rsid w:val="00601309"/>
    <w:rsid w:val="00637C7E"/>
    <w:rsid w:val="0064266F"/>
    <w:rsid w:val="00646037"/>
    <w:rsid w:val="006546D7"/>
    <w:rsid w:val="00656879"/>
    <w:rsid w:val="006740A6"/>
    <w:rsid w:val="0067459C"/>
    <w:rsid w:val="006833DA"/>
    <w:rsid w:val="0069192F"/>
    <w:rsid w:val="006A0BB1"/>
    <w:rsid w:val="006A32FA"/>
    <w:rsid w:val="006A6D08"/>
    <w:rsid w:val="006B08DC"/>
    <w:rsid w:val="006B6683"/>
    <w:rsid w:val="006E3521"/>
    <w:rsid w:val="006F3C83"/>
    <w:rsid w:val="007116B8"/>
    <w:rsid w:val="00714D39"/>
    <w:rsid w:val="00726596"/>
    <w:rsid w:val="00727C2D"/>
    <w:rsid w:val="00737453"/>
    <w:rsid w:val="007413BF"/>
    <w:rsid w:val="00744127"/>
    <w:rsid w:val="0074581A"/>
    <w:rsid w:val="007508E8"/>
    <w:rsid w:val="00755178"/>
    <w:rsid w:val="00757D90"/>
    <w:rsid w:val="00763BB6"/>
    <w:rsid w:val="00765594"/>
    <w:rsid w:val="00790B2B"/>
    <w:rsid w:val="00796AC9"/>
    <w:rsid w:val="007A21C8"/>
    <w:rsid w:val="007B5E37"/>
    <w:rsid w:val="007B6BEA"/>
    <w:rsid w:val="007D50CE"/>
    <w:rsid w:val="007D6573"/>
    <w:rsid w:val="007F5EFA"/>
    <w:rsid w:val="00812890"/>
    <w:rsid w:val="0083255E"/>
    <w:rsid w:val="00834802"/>
    <w:rsid w:val="00836307"/>
    <w:rsid w:val="00846A72"/>
    <w:rsid w:val="0085117D"/>
    <w:rsid w:val="00860C8E"/>
    <w:rsid w:val="00866A95"/>
    <w:rsid w:val="0088144C"/>
    <w:rsid w:val="008B6020"/>
    <w:rsid w:val="008C5EDD"/>
    <w:rsid w:val="008D6D3D"/>
    <w:rsid w:val="008E0DCE"/>
    <w:rsid w:val="008E28A7"/>
    <w:rsid w:val="009041DF"/>
    <w:rsid w:val="00910056"/>
    <w:rsid w:val="009113C2"/>
    <w:rsid w:val="00926F10"/>
    <w:rsid w:val="00931C36"/>
    <w:rsid w:val="00935804"/>
    <w:rsid w:val="00941008"/>
    <w:rsid w:val="00943C88"/>
    <w:rsid w:val="009510B2"/>
    <w:rsid w:val="00954DAF"/>
    <w:rsid w:val="009552BC"/>
    <w:rsid w:val="0096198F"/>
    <w:rsid w:val="009714FD"/>
    <w:rsid w:val="009752D7"/>
    <w:rsid w:val="00976ED9"/>
    <w:rsid w:val="00990E03"/>
    <w:rsid w:val="00993F6E"/>
    <w:rsid w:val="009A3842"/>
    <w:rsid w:val="009A51B5"/>
    <w:rsid w:val="009D15E6"/>
    <w:rsid w:val="009D3281"/>
    <w:rsid w:val="009F4C6C"/>
    <w:rsid w:val="009F4F7A"/>
    <w:rsid w:val="009F587C"/>
    <w:rsid w:val="00A02A0B"/>
    <w:rsid w:val="00A0441B"/>
    <w:rsid w:val="00A0481B"/>
    <w:rsid w:val="00A065F7"/>
    <w:rsid w:val="00A067E5"/>
    <w:rsid w:val="00A17C31"/>
    <w:rsid w:val="00A21D6F"/>
    <w:rsid w:val="00A2442F"/>
    <w:rsid w:val="00A27427"/>
    <w:rsid w:val="00A3658B"/>
    <w:rsid w:val="00A416F8"/>
    <w:rsid w:val="00A7354E"/>
    <w:rsid w:val="00A9653B"/>
    <w:rsid w:val="00AA22A5"/>
    <w:rsid w:val="00AB3CCE"/>
    <w:rsid w:val="00AB6787"/>
    <w:rsid w:val="00AC05ED"/>
    <w:rsid w:val="00AC4ADC"/>
    <w:rsid w:val="00AC773A"/>
    <w:rsid w:val="00AD55C0"/>
    <w:rsid w:val="00AD7E39"/>
    <w:rsid w:val="00AE0C67"/>
    <w:rsid w:val="00AE41D2"/>
    <w:rsid w:val="00B00563"/>
    <w:rsid w:val="00B00A0D"/>
    <w:rsid w:val="00B03D4C"/>
    <w:rsid w:val="00B152FA"/>
    <w:rsid w:val="00B2271A"/>
    <w:rsid w:val="00B43693"/>
    <w:rsid w:val="00B53CF3"/>
    <w:rsid w:val="00B54792"/>
    <w:rsid w:val="00B61067"/>
    <w:rsid w:val="00B65865"/>
    <w:rsid w:val="00B81A43"/>
    <w:rsid w:val="00BC08E6"/>
    <w:rsid w:val="00C12078"/>
    <w:rsid w:val="00C176C9"/>
    <w:rsid w:val="00C177AB"/>
    <w:rsid w:val="00C26AED"/>
    <w:rsid w:val="00C35177"/>
    <w:rsid w:val="00C42EDC"/>
    <w:rsid w:val="00C60BF7"/>
    <w:rsid w:val="00C650E6"/>
    <w:rsid w:val="00C66544"/>
    <w:rsid w:val="00C66BF3"/>
    <w:rsid w:val="00C80539"/>
    <w:rsid w:val="00C932C5"/>
    <w:rsid w:val="00C969A9"/>
    <w:rsid w:val="00CA6501"/>
    <w:rsid w:val="00CB4BC1"/>
    <w:rsid w:val="00CC118D"/>
    <w:rsid w:val="00CC390B"/>
    <w:rsid w:val="00CC5DD2"/>
    <w:rsid w:val="00CD379F"/>
    <w:rsid w:val="00CD5859"/>
    <w:rsid w:val="00CE2DED"/>
    <w:rsid w:val="00CF4F15"/>
    <w:rsid w:val="00CF5041"/>
    <w:rsid w:val="00D06492"/>
    <w:rsid w:val="00D067DA"/>
    <w:rsid w:val="00D23AC1"/>
    <w:rsid w:val="00D3784C"/>
    <w:rsid w:val="00D404E7"/>
    <w:rsid w:val="00D54F3A"/>
    <w:rsid w:val="00D56FD2"/>
    <w:rsid w:val="00D7181A"/>
    <w:rsid w:val="00D777E5"/>
    <w:rsid w:val="00D80B98"/>
    <w:rsid w:val="00D8757C"/>
    <w:rsid w:val="00DB20B7"/>
    <w:rsid w:val="00DC6227"/>
    <w:rsid w:val="00DF02A7"/>
    <w:rsid w:val="00DF1F13"/>
    <w:rsid w:val="00E04B6B"/>
    <w:rsid w:val="00E17808"/>
    <w:rsid w:val="00E23C0A"/>
    <w:rsid w:val="00E26496"/>
    <w:rsid w:val="00E27999"/>
    <w:rsid w:val="00E34488"/>
    <w:rsid w:val="00E42B75"/>
    <w:rsid w:val="00E4799E"/>
    <w:rsid w:val="00E51E24"/>
    <w:rsid w:val="00E8713A"/>
    <w:rsid w:val="00E91EB1"/>
    <w:rsid w:val="00EA0467"/>
    <w:rsid w:val="00EA0609"/>
    <w:rsid w:val="00EA6C7C"/>
    <w:rsid w:val="00EC1F52"/>
    <w:rsid w:val="00EC56E1"/>
    <w:rsid w:val="00EF7595"/>
    <w:rsid w:val="00F1052E"/>
    <w:rsid w:val="00F15DF2"/>
    <w:rsid w:val="00F20ABB"/>
    <w:rsid w:val="00F33CD5"/>
    <w:rsid w:val="00F36595"/>
    <w:rsid w:val="00F36A19"/>
    <w:rsid w:val="00F47AC0"/>
    <w:rsid w:val="00F51255"/>
    <w:rsid w:val="00F5437E"/>
    <w:rsid w:val="00F65592"/>
    <w:rsid w:val="00F747E1"/>
    <w:rsid w:val="00F87B91"/>
    <w:rsid w:val="00F90C25"/>
    <w:rsid w:val="00F91380"/>
    <w:rsid w:val="00F93AB7"/>
    <w:rsid w:val="00F96B0B"/>
    <w:rsid w:val="00FA24DB"/>
    <w:rsid w:val="00FB2EAF"/>
    <w:rsid w:val="00FB3733"/>
    <w:rsid w:val="00FB3AEC"/>
    <w:rsid w:val="00FB4D99"/>
    <w:rsid w:val="00FB780D"/>
    <w:rsid w:val="00FD1C91"/>
    <w:rsid w:val="00FE4F92"/>
    <w:rsid w:val="00FE62A7"/>
    <w:rsid w:val="00FF0AD1"/>
    <w:rsid w:val="4E534C2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655EED3"/>
  <w15:docId w15:val="{2A156178-1C64-4081-B7BA-60E38F4DD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mk-MK" w:eastAsia="mk-MK"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uiPriority="0"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before="100" w:after="100"/>
    </w:pPr>
    <w:rPr>
      <w:rFonts w:ascii="Times New Roman" w:eastAsia="Times New Roman" w:hAnsi="Times New Roman" w:cs="Times New Roman"/>
      <w:snapToGrid w:val="0"/>
      <w:sz w:val="24"/>
      <w:lang w:val="en-US" w:eastAsia="en-US"/>
    </w:rPr>
  </w:style>
  <w:style w:type="paragraph" w:styleId="Heading4">
    <w:name w:val="heading 4"/>
    <w:basedOn w:val="Normal"/>
    <w:next w:val="Normal"/>
    <w:link w:val="Heading4Char"/>
    <w:qFormat/>
    <w:pPr>
      <w:widowControl/>
      <w:spacing w:before="120" w:after="120"/>
      <w:ind w:left="414" w:right="-48"/>
      <w:jc w:val="both"/>
      <w:outlineLvl w:val="3"/>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before="0" w:after="0"/>
    </w:pPr>
    <w:rPr>
      <w:rFonts w:ascii="Tahoma" w:hAnsi="Tahoma" w:cs="Tahoma"/>
      <w:sz w:val="16"/>
      <w:szCs w:val="16"/>
    </w:rPr>
  </w:style>
  <w:style w:type="paragraph" w:styleId="BodyText">
    <w:name w:val="Body Text"/>
    <w:basedOn w:val="Normal"/>
    <w:link w:val="BodyTextChar"/>
    <w:qFormat/>
    <w:pPr>
      <w:widowControl/>
      <w:spacing w:before="0" w:after="0"/>
    </w:pPr>
    <w:rPr>
      <w:snapToGrid/>
      <w:lang w:val="en-GB" w:eastAsia="en-GB"/>
    </w:rPr>
  </w:style>
  <w:style w:type="character" w:styleId="CommentReference">
    <w:name w:val="annotation reference"/>
    <w:basedOn w:val="DefaultParagraphFont"/>
    <w:uiPriority w:val="99"/>
    <w:unhideWhenUsed/>
    <w:qFormat/>
    <w:rPr>
      <w:sz w:val="16"/>
      <w:szCs w:val="16"/>
    </w:rPr>
  </w:style>
  <w:style w:type="paragraph" w:styleId="CommentText">
    <w:name w:val="annotation text"/>
    <w:basedOn w:val="Normal"/>
    <w:link w:val="CommentTextChar"/>
    <w:unhideWhenUsed/>
    <w:qFormat/>
    <w:rPr>
      <w:sz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uiPriority w:val="20"/>
    <w:qFormat/>
    <w:rPr>
      <w:i/>
    </w:rPr>
  </w:style>
  <w:style w:type="character" w:styleId="FollowedHyperlink">
    <w:name w:val="FollowedHyperlink"/>
    <w:basedOn w:val="DefaultParagraphFont"/>
    <w:uiPriority w:val="99"/>
    <w:semiHidden/>
    <w:unhideWhenUsed/>
    <w:qFormat/>
    <w:rPr>
      <w:color w:val="800080" w:themeColor="followedHyperlink"/>
      <w:u w:val="single"/>
    </w:rPr>
  </w:style>
  <w:style w:type="paragraph" w:styleId="Footer">
    <w:name w:val="footer"/>
    <w:basedOn w:val="Normal"/>
    <w:link w:val="FooterChar"/>
    <w:unhideWhenUsed/>
    <w:qFormat/>
    <w:pPr>
      <w:tabs>
        <w:tab w:val="center" w:pos="4536"/>
        <w:tab w:val="right" w:pos="9072"/>
      </w:tabs>
      <w:spacing w:before="0" w:after="0"/>
    </w:pPr>
  </w:style>
  <w:style w:type="character" w:styleId="FootnoteReference">
    <w:name w:val="footnote reference"/>
    <w:uiPriority w:val="99"/>
    <w:rPr>
      <w:vertAlign w:val="superscript"/>
    </w:rPr>
  </w:style>
  <w:style w:type="paragraph" w:styleId="FootnoteText">
    <w:name w:val="footnote text"/>
    <w:basedOn w:val="Normal"/>
    <w:link w:val="FootnoteTextChar"/>
    <w:uiPriority w:val="99"/>
    <w:semiHidden/>
    <w:unhideWhenUsed/>
    <w:qFormat/>
    <w:pPr>
      <w:spacing w:before="0" w:after="0"/>
    </w:pPr>
    <w:rPr>
      <w:sz w:val="20"/>
    </w:rPr>
  </w:style>
  <w:style w:type="paragraph" w:styleId="Header">
    <w:name w:val="header"/>
    <w:basedOn w:val="Normal"/>
    <w:link w:val="HeaderChar"/>
    <w:uiPriority w:val="99"/>
    <w:unhideWhenUsed/>
    <w:qFormat/>
    <w:pPr>
      <w:tabs>
        <w:tab w:val="center" w:pos="4536"/>
        <w:tab w:val="right" w:pos="9072"/>
      </w:tabs>
      <w:spacing w:before="0" w:after="0"/>
    </w:pPr>
  </w:style>
  <w:style w:type="character" w:styleId="Hyperlink">
    <w:name w:val="Hyperlink"/>
    <w:rPr>
      <w:color w:val="0000FF"/>
      <w:u w:val="single"/>
    </w:rPr>
  </w:style>
  <w:style w:type="character" w:styleId="Strong">
    <w:name w:val="Strong"/>
    <w:uiPriority w:val="22"/>
    <w:qFormat/>
    <w:rPr>
      <w:b/>
    </w:rPr>
  </w:style>
  <w:style w:type="paragraph" w:styleId="Subtitle">
    <w:name w:val="Subtitle"/>
    <w:basedOn w:val="Normal"/>
    <w:link w:val="SubtitleChar"/>
    <w:qFormat/>
    <w:pPr>
      <w:widowControl/>
      <w:spacing w:before="120" w:after="120"/>
      <w:jc w:val="center"/>
    </w:pPr>
    <w:rPr>
      <w:rFonts w:ascii="Arial" w:hAnsi="Arial"/>
      <w:b/>
      <w:sz w:val="28"/>
      <w:lang w:val="fr-BE"/>
    </w:rPr>
  </w:style>
  <w:style w:type="paragraph" w:customStyle="1" w:styleId="Blockquote">
    <w:name w:val="Blockquote"/>
    <w:basedOn w:val="Normal"/>
    <w:qFormat/>
    <w:pPr>
      <w:ind w:left="360" w:right="360"/>
    </w:pPr>
  </w:style>
  <w:style w:type="paragraph" w:styleId="ListParagraph">
    <w:name w:val="List Paragraph"/>
    <w:basedOn w:val="Normal"/>
    <w:uiPriority w:val="34"/>
    <w:qFormat/>
    <w:pPr>
      <w:ind w:left="720"/>
      <w:contextualSpacing/>
    </w:pPr>
  </w:style>
  <w:style w:type="character" w:customStyle="1" w:styleId="FootnoteTextChar">
    <w:name w:val="Footnote Text Char"/>
    <w:basedOn w:val="DefaultParagraphFont"/>
    <w:link w:val="FootnoteText"/>
    <w:uiPriority w:val="99"/>
    <w:semiHidden/>
    <w:qFormat/>
    <w:rPr>
      <w:rFonts w:ascii="Times New Roman" w:eastAsia="Times New Roman" w:hAnsi="Times New Roman" w:cs="Times New Roman"/>
      <w:snapToGrid w:val="0"/>
      <w:sz w:val="20"/>
      <w:szCs w:val="20"/>
      <w:lang w:val="en-US"/>
    </w:rPr>
  </w:style>
  <w:style w:type="paragraph" w:customStyle="1" w:styleId="PRAGHeading2">
    <w:name w:val="PRAG Heading 2"/>
    <w:basedOn w:val="Normal"/>
    <w:pPr>
      <w:numPr>
        <w:numId w:val="1"/>
      </w:numPr>
    </w:pPr>
    <w:rPr>
      <w:lang w:val="fr-FR"/>
    </w:rPr>
  </w:style>
  <w:style w:type="paragraph" w:customStyle="1" w:styleId="Default">
    <w:name w:val="Default"/>
    <w:qFormat/>
    <w:pPr>
      <w:autoSpaceDE w:val="0"/>
      <w:autoSpaceDN w:val="0"/>
      <w:adjustRightInd w:val="0"/>
    </w:pPr>
    <w:rPr>
      <w:rFonts w:ascii="Minion Pro" w:eastAsia="Times New Roman" w:hAnsi="Minion Pro" w:cs="Minion Pro"/>
      <w:color w:val="000000"/>
      <w:sz w:val="24"/>
      <w:szCs w:val="24"/>
      <w:lang w:val="en-GB" w:eastAsia="en-GB"/>
    </w:rPr>
  </w:style>
  <w:style w:type="character" w:customStyle="1" w:styleId="HeaderChar">
    <w:name w:val="Header Char"/>
    <w:basedOn w:val="DefaultParagraphFont"/>
    <w:link w:val="Header"/>
    <w:uiPriority w:val="99"/>
    <w:qFormat/>
    <w:rPr>
      <w:rFonts w:ascii="Times New Roman" w:eastAsia="Times New Roman" w:hAnsi="Times New Roman" w:cs="Times New Roman"/>
      <w:snapToGrid w:val="0"/>
      <w:sz w:val="24"/>
      <w:szCs w:val="20"/>
      <w:lang w:val="en-US"/>
    </w:rPr>
  </w:style>
  <w:style w:type="character" w:customStyle="1" w:styleId="FooterChar">
    <w:name w:val="Footer Char"/>
    <w:basedOn w:val="DefaultParagraphFont"/>
    <w:link w:val="Footer"/>
    <w:qFormat/>
    <w:rPr>
      <w:rFonts w:ascii="Times New Roman" w:eastAsia="Times New Roman" w:hAnsi="Times New Roman" w:cs="Times New Roman"/>
      <w:snapToGrid w:val="0"/>
      <w:sz w:val="24"/>
      <w:szCs w:val="20"/>
      <w:lang w:val="en-US"/>
    </w:rPr>
  </w:style>
  <w:style w:type="character" w:customStyle="1" w:styleId="BalloonTextChar">
    <w:name w:val="Balloon Text Char"/>
    <w:basedOn w:val="DefaultParagraphFont"/>
    <w:link w:val="BalloonText"/>
    <w:uiPriority w:val="99"/>
    <w:semiHidden/>
    <w:qFormat/>
    <w:rPr>
      <w:rFonts w:ascii="Tahoma" w:eastAsia="Times New Roman" w:hAnsi="Tahoma" w:cs="Tahoma"/>
      <w:snapToGrid w:val="0"/>
      <w:sz w:val="16"/>
      <w:szCs w:val="16"/>
      <w:lang w:val="en-US"/>
    </w:rPr>
  </w:style>
  <w:style w:type="character" w:customStyle="1" w:styleId="CommentTextChar">
    <w:name w:val="Comment Text Char"/>
    <w:basedOn w:val="DefaultParagraphFont"/>
    <w:link w:val="CommentText"/>
    <w:qFormat/>
    <w:rPr>
      <w:rFonts w:ascii="Times New Roman" w:eastAsia="Times New Roman" w:hAnsi="Times New Roman" w:cs="Times New Roman"/>
      <w:snapToGrid w:val="0"/>
      <w:sz w:val="20"/>
      <w:szCs w:val="20"/>
      <w:lang w:val="en-US"/>
    </w:rPr>
  </w:style>
  <w:style w:type="character" w:customStyle="1" w:styleId="CommentSubjectChar">
    <w:name w:val="Comment Subject Char"/>
    <w:basedOn w:val="CommentTextChar"/>
    <w:link w:val="CommentSubject"/>
    <w:uiPriority w:val="99"/>
    <w:semiHidden/>
    <w:qFormat/>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qFormat/>
    <w:rPr>
      <w:rFonts w:ascii="Times New Roman" w:eastAsia="Times New Roman" w:hAnsi="Times New Roman" w:cs="Times New Roman"/>
      <w:snapToGrid w:val="0"/>
    </w:rPr>
  </w:style>
  <w:style w:type="character" w:customStyle="1" w:styleId="Definition">
    <w:name w:val="Definition"/>
    <w:qFormat/>
    <w:rPr>
      <w:i/>
    </w:rPr>
  </w:style>
  <w:style w:type="paragraph" w:customStyle="1" w:styleId="H6">
    <w:name w:val="H6"/>
    <w:basedOn w:val="Normal"/>
    <w:next w:val="Normal"/>
    <w:qFormat/>
    <w:pPr>
      <w:keepNext/>
      <w:outlineLvl w:val="6"/>
    </w:pPr>
    <w:rPr>
      <w:b/>
      <w:sz w:val="16"/>
    </w:rPr>
  </w:style>
  <w:style w:type="paragraph" w:customStyle="1" w:styleId="DefinitionTerm">
    <w:name w:val="Definition Term"/>
    <w:basedOn w:val="Normal"/>
    <w:next w:val="Normal"/>
    <w:qFormat/>
    <w:pPr>
      <w:spacing w:before="0" w:after="0"/>
    </w:pPr>
  </w:style>
  <w:style w:type="paragraph" w:customStyle="1" w:styleId="Revision1">
    <w:name w:val="Revision1"/>
    <w:hidden/>
    <w:uiPriority w:val="99"/>
    <w:semiHidden/>
    <w:qFormat/>
    <w:rPr>
      <w:rFonts w:ascii="Times New Roman" w:eastAsia="Times New Roman" w:hAnsi="Times New Roman" w:cs="Times New Roman"/>
      <w:snapToGrid w:val="0"/>
      <w:sz w:val="24"/>
      <w:lang w:val="en-US" w:eastAsia="en-US"/>
    </w:rPr>
  </w:style>
  <w:style w:type="character" w:customStyle="1" w:styleId="SubtitleChar">
    <w:name w:val="Subtitle Char"/>
    <w:basedOn w:val="DefaultParagraphFont"/>
    <w:link w:val="Subtitle"/>
    <w:qFormat/>
    <w:rPr>
      <w:rFonts w:ascii="Arial" w:eastAsia="Times New Roman" w:hAnsi="Arial" w:cs="Times New Roman"/>
      <w:b/>
      <w:snapToGrid w:val="0"/>
      <w:sz w:val="28"/>
      <w:szCs w:val="20"/>
      <w:lang w:val="fr-BE"/>
    </w:rPr>
  </w:style>
  <w:style w:type="character" w:customStyle="1" w:styleId="BodyTextChar">
    <w:name w:val="Body Text Char"/>
    <w:basedOn w:val="DefaultParagraphFont"/>
    <w:link w:val="BodyText"/>
    <w:qFormat/>
    <w:rPr>
      <w:rFonts w:ascii="Times New Roman" w:eastAsia="Times New Roman" w:hAnsi="Times New Roman" w:cs="Times New Roman"/>
      <w:sz w:val="24"/>
      <w:szCs w:val="20"/>
      <w:lang w:eastAsia="en-GB"/>
    </w:rPr>
  </w:style>
  <w:style w:type="character" w:customStyle="1" w:styleId="UnresolvedMention1">
    <w:name w:val="Unresolved Mention1"/>
    <w:basedOn w:val="DefaultParagraphFont"/>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bitola.gov.mk/green-inter-e-mobility/" TargetMode="External"/><Relationship Id="rId4" Type="http://schemas.openxmlformats.org/officeDocument/2006/relationships/styles" Target="styles.xml"/><Relationship Id="rId9" Type="http://schemas.openxmlformats.org/officeDocument/2006/relationships/hyperlink" Target="mailto:greeninteremobility@gmai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E0914E-8A56-42DD-A248-F2EA7D0A090A}">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6</Pages>
  <Words>1926</Words>
  <Characters>10980</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Горан Неделков</cp:lastModifiedBy>
  <cp:revision>14</cp:revision>
  <cp:lastPrinted>2021-05-17T09:28:00Z</cp:lastPrinted>
  <dcterms:created xsi:type="dcterms:W3CDTF">2021-03-18T11:34:00Z</dcterms:created>
  <dcterms:modified xsi:type="dcterms:W3CDTF">2021-05-19T11:28:00Z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2057-11.2.0.10017</vt:lpwstr>
  </property>
</Properties>
</file>